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outlineLvl w:val="0"/>
        <w:rPr>
          <w:rFonts w:ascii="Times New Roman" w:hAnsi="Times New Roman"/>
          <w:b/>
          <w:sz w:val="44"/>
          <w:szCs w:val="44"/>
        </w:rPr>
      </w:pPr>
      <w:r>
        <w:rPr>
          <w:rFonts w:ascii="Times New Roman" w:hAnsi="Times New Roman"/>
          <w:b/>
          <w:sz w:val="44"/>
          <w:szCs w:val="44"/>
        </w:rPr>
        <w:t>采购需求</w:t>
      </w:r>
    </w:p>
    <w:p>
      <w:pPr>
        <w:spacing w:line="0" w:lineRule="atLeast"/>
        <w:ind w:firstLine="560"/>
        <w:rPr>
          <w:rFonts w:asciiTheme="majorEastAsia" w:hAnsiTheme="majorEastAsia" w:eastAsiaTheme="majorEastAsia"/>
          <w:sz w:val="28"/>
          <w:szCs w:val="28"/>
        </w:rPr>
      </w:pPr>
    </w:p>
    <w:p>
      <w:pPr>
        <w:ind w:firstLine="480"/>
        <w:rPr>
          <w:rFonts w:ascii="宋体" w:hAnsi="宋体" w:cs="宋体"/>
          <w:b/>
          <w:sz w:val="24"/>
          <w:szCs w:val="24"/>
        </w:rPr>
      </w:pPr>
      <w:r>
        <w:rPr>
          <w:rFonts w:hint="eastAsia" w:ascii="黑体" w:hAnsi="黑体" w:eastAsia="黑体"/>
          <w:sz w:val="24"/>
          <w:szCs w:val="24"/>
        </w:rPr>
        <w:t>一、采购标的清单</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4234"/>
        <w:gridCol w:w="3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66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rPr>
                <w:rFonts w:ascii="宋体" w:hAnsi="宋体"/>
                <w:sz w:val="24"/>
                <w:szCs w:val="24"/>
              </w:rPr>
            </w:pPr>
            <w:r>
              <w:rPr>
                <w:rFonts w:hint="eastAsia" w:ascii="宋体" w:hAnsi="宋体"/>
                <w:sz w:val="24"/>
                <w:szCs w:val="24"/>
              </w:rPr>
              <w:t>采购包号</w:t>
            </w:r>
          </w:p>
        </w:tc>
        <w:tc>
          <w:tcPr>
            <w:tcW w:w="2484"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sz w:val="24"/>
                <w:szCs w:val="24"/>
              </w:rPr>
            </w:pPr>
            <w:r>
              <w:rPr>
                <w:rFonts w:hint="eastAsia" w:ascii="宋体" w:hAnsi="宋体"/>
                <w:sz w:val="24"/>
                <w:szCs w:val="24"/>
              </w:rPr>
              <w:t>采购标的</w:t>
            </w:r>
          </w:p>
        </w:tc>
        <w:tc>
          <w:tcPr>
            <w:tcW w:w="184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sz w:val="24"/>
                <w:szCs w:val="24"/>
              </w:rPr>
            </w:pPr>
            <w:r>
              <w:rPr>
                <w:rFonts w:hint="eastAsia" w:ascii="宋体" w:hAnsi="宋体"/>
                <w:sz w:val="24"/>
                <w:szCs w:val="24"/>
              </w:rPr>
              <w:t>对应中小企业划分标准所属行业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6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sz w:val="24"/>
                <w:szCs w:val="24"/>
              </w:rPr>
            </w:pPr>
            <w:r>
              <w:rPr>
                <w:rFonts w:hint="eastAsia" w:ascii="宋体" w:hAnsi="宋体"/>
                <w:sz w:val="24"/>
                <w:szCs w:val="24"/>
              </w:rPr>
              <w:t>一</w:t>
            </w:r>
          </w:p>
        </w:tc>
        <w:tc>
          <w:tcPr>
            <w:tcW w:w="2484" w:type="pct"/>
            <w:tcBorders>
              <w:top w:val="single" w:color="auto" w:sz="4" w:space="0"/>
              <w:left w:val="single" w:color="auto" w:sz="4" w:space="0"/>
              <w:bottom w:val="single" w:color="auto" w:sz="4" w:space="0"/>
              <w:right w:val="single" w:color="auto" w:sz="4" w:space="0"/>
            </w:tcBorders>
            <w:noWrap w:val="0"/>
            <w:vAlign w:val="center"/>
          </w:tcPr>
          <w:p>
            <w:pPr>
              <w:tabs>
                <w:tab w:val="left" w:pos="2020"/>
              </w:tabs>
              <w:spacing w:line="0" w:lineRule="atLeast"/>
              <w:rPr>
                <w:rFonts w:ascii="宋体" w:hAnsi="宋体"/>
                <w:sz w:val="24"/>
                <w:szCs w:val="24"/>
              </w:rPr>
            </w:pPr>
            <w:r>
              <w:rPr>
                <w:rFonts w:hint="eastAsia" w:ascii="宋体" w:hAnsi="宋体"/>
                <w:sz w:val="24"/>
                <w:szCs w:val="24"/>
                <w:lang w:val="en-US" w:eastAsia="zh-CN"/>
              </w:rPr>
              <w:t>泗洪县公安局新型犯罪仿真实验室项目</w:t>
            </w:r>
          </w:p>
        </w:tc>
        <w:tc>
          <w:tcPr>
            <w:tcW w:w="1848" w:type="pct"/>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sz w:val="24"/>
                <w:szCs w:val="24"/>
              </w:rPr>
            </w:pPr>
            <w:r>
              <w:rPr>
                <w:rFonts w:hint="eastAsia" w:ascii="宋体" w:hAnsi="宋体"/>
                <w:sz w:val="24"/>
                <w:szCs w:val="24"/>
              </w:rPr>
              <w:t>软件和信息技术服务业</w:t>
            </w:r>
          </w:p>
        </w:tc>
      </w:tr>
    </w:tbl>
    <w:p>
      <w:pPr>
        <w:spacing w:line="480" w:lineRule="exact"/>
        <w:ind w:firstLine="480"/>
        <w:rPr>
          <w:rFonts w:hint="default" w:ascii="宋体" w:hAnsi="宋体" w:eastAsia="黑体" w:cs="宋体"/>
          <w:b/>
          <w:sz w:val="24"/>
          <w:szCs w:val="24"/>
          <w:lang w:val="en-US" w:eastAsia="zh-CN"/>
        </w:rPr>
      </w:pPr>
      <w:r>
        <w:rPr>
          <w:rFonts w:hint="eastAsia" w:ascii="黑体" w:hAnsi="黑体" w:eastAsia="黑体"/>
          <w:sz w:val="24"/>
          <w:szCs w:val="24"/>
        </w:rPr>
        <w:t>二、</w:t>
      </w:r>
      <w:r>
        <w:rPr>
          <w:rFonts w:hint="eastAsia" w:ascii="黑体" w:hAnsi="黑体" w:eastAsia="黑体"/>
          <w:sz w:val="24"/>
          <w:szCs w:val="24"/>
          <w:lang w:val="en-US" w:eastAsia="zh-CN"/>
        </w:rPr>
        <w:t>项目基础信息</w:t>
      </w:r>
    </w:p>
    <w:p>
      <w:pPr>
        <w:spacing w:line="480" w:lineRule="exact"/>
        <w:ind w:firstLine="480"/>
        <w:rPr>
          <w:rFonts w:hint="eastAsia" w:ascii="宋体" w:hAnsi="宋体" w:eastAsia="宋体" w:cs="宋体"/>
          <w:bCs/>
          <w:color w:val="000000" w:themeColor="text1"/>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bidi="ar-SA"/>
          <w14:textFill>
            <w14:solidFill>
              <w14:schemeClr w14:val="tx1"/>
            </w14:solidFill>
          </w14:textFill>
        </w:rPr>
        <w:t>1、项目概况：泗洪县公安局新型犯罪仿真实验室项目</w:t>
      </w:r>
      <w:r>
        <w:rPr>
          <w:rFonts w:hint="eastAsia" w:ascii="宋体" w:hAnsi="宋体" w:cs="宋体"/>
          <w:bCs/>
          <w:color w:val="000000" w:themeColor="text1"/>
          <w:sz w:val="24"/>
          <w:szCs w:val="24"/>
          <w:lang w:val="en-US" w:eastAsia="zh-CN" w:bidi="ar-SA"/>
          <w14:textFill>
            <w14:solidFill>
              <w14:schemeClr w14:val="tx1"/>
            </w14:solidFill>
          </w14:textFill>
        </w:rPr>
        <w:t>。</w:t>
      </w:r>
    </w:p>
    <w:p>
      <w:pPr>
        <w:spacing w:line="480" w:lineRule="exact"/>
        <w:ind w:firstLine="480"/>
        <w:rPr>
          <w:rFonts w:hint="eastAsia" w:ascii="宋体" w:hAnsi="宋体" w:eastAsia="宋体" w:cs="宋体"/>
          <w:bCs/>
          <w:color w:val="000000" w:themeColor="text1"/>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bidi="ar-SA"/>
          <w14:textFill>
            <w14:solidFill>
              <w14:schemeClr w14:val="tx1"/>
            </w14:solidFill>
          </w14:textFill>
        </w:rPr>
        <w:t>2、最高限价：</w:t>
      </w:r>
      <w:r>
        <w:rPr>
          <w:rFonts w:hint="eastAsia" w:ascii="宋体" w:hAnsi="宋体" w:cs="宋体"/>
          <w:bCs/>
          <w:color w:val="000000" w:themeColor="text1"/>
          <w:sz w:val="24"/>
          <w:szCs w:val="24"/>
          <w:lang w:val="en-US" w:eastAsia="zh-CN" w:bidi="ar-SA"/>
          <w14:textFill>
            <w14:solidFill>
              <w14:schemeClr w14:val="tx1"/>
            </w14:solidFill>
          </w14:textFill>
        </w:rPr>
        <w:t>104</w:t>
      </w:r>
      <w:r>
        <w:rPr>
          <w:rFonts w:hint="eastAsia" w:ascii="宋体" w:hAnsi="宋体" w:eastAsia="宋体" w:cs="宋体"/>
          <w:bCs/>
          <w:color w:val="000000" w:themeColor="text1"/>
          <w:sz w:val="24"/>
          <w:szCs w:val="24"/>
          <w:lang w:val="en-US" w:eastAsia="zh-CN" w:bidi="ar-SA"/>
          <w14:textFill>
            <w14:solidFill>
              <w14:schemeClr w14:val="tx1"/>
            </w14:solidFill>
          </w14:textFill>
        </w:rPr>
        <w:t>万元</w:t>
      </w:r>
      <w:r>
        <w:rPr>
          <w:rFonts w:hint="eastAsia" w:ascii="宋体" w:hAnsi="宋体" w:cs="宋体"/>
          <w:bCs/>
          <w:color w:val="000000" w:themeColor="text1"/>
          <w:sz w:val="24"/>
          <w:szCs w:val="24"/>
          <w:lang w:val="en-US" w:eastAsia="zh-CN" w:bidi="ar-SA"/>
          <w14:textFill>
            <w14:solidFill>
              <w14:schemeClr w14:val="tx1"/>
            </w14:solidFill>
          </w14:textFill>
        </w:rPr>
        <w:t>。</w:t>
      </w:r>
    </w:p>
    <w:p>
      <w:pPr>
        <w:spacing w:line="480" w:lineRule="exact"/>
        <w:ind w:firstLine="480"/>
        <w:rPr>
          <w:rFonts w:hint="eastAsia" w:ascii="宋体" w:hAnsi="宋体" w:cs="宋体"/>
          <w:bCs/>
          <w:color w:val="auto"/>
          <w:sz w:val="24"/>
          <w:szCs w:val="24"/>
          <w:lang w:val="en-US" w:eastAsia="zh-CN"/>
        </w:rPr>
      </w:pPr>
      <w:r>
        <w:rPr>
          <w:rFonts w:hint="eastAsia" w:ascii="宋体" w:hAnsi="宋体" w:eastAsia="宋体" w:cs="宋体"/>
          <w:bCs/>
          <w:color w:val="auto"/>
          <w:sz w:val="24"/>
          <w:szCs w:val="24"/>
          <w:lang w:val="en-US" w:eastAsia="zh-CN" w:bidi="ar-SA"/>
        </w:rPr>
        <w:t>3、合同履行期限：</w:t>
      </w:r>
      <w:r>
        <w:rPr>
          <w:rFonts w:hint="eastAsia" w:ascii="宋体" w:hAnsi="宋体" w:cs="宋体"/>
          <w:bCs/>
          <w:color w:val="auto"/>
          <w:sz w:val="24"/>
          <w:szCs w:val="24"/>
        </w:rPr>
        <w:t>合同签订后15日历天内交付采购人使用，整体项目履行期限</w:t>
      </w:r>
      <w:r>
        <w:rPr>
          <w:rFonts w:hint="eastAsia" w:ascii="宋体" w:hAnsi="宋体" w:cs="宋体"/>
          <w:bCs/>
          <w:color w:val="auto"/>
          <w:sz w:val="24"/>
          <w:szCs w:val="24"/>
          <w:lang w:val="en-US" w:eastAsia="zh-CN"/>
        </w:rPr>
        <w:t>1</w:t>
      </w:r>
      <w:r>
        <w:rPr>
          <w:rFonts w:hint="eastAsia" w:ascii="宋体" w:hAnsi="宋体" w:cs="宋体"/>
          <w:bCs/>
          <w:color w:val="auto"/>
          <w:sz w:val="24"/>
          <w:szCs w:val="24"/>
        </w:rPr>
        <w:t>年</w:t>
      </w:r>
      <w:r>
        <w:rPr>
          <w:rFonts w:hint="eastAsia" w:ascii="宋体" w:hAnsi="宋体" w:cs="宋体"/>
          <w:bCs/>
          <w:color w:val="auto"/>
          <w:sz w:val="24"/>
          <w:szCs w:val="24"/>
          <w:lang w:val="en-US" w:eastAsia="zh-CN"/>
        </w:rPr>
        <w:t>。</w:t>
      </w:r>
    </w:p>
    <w:p>
      <w:pPr>
        <w:spacing w:line="480" w:lineRule="exact"/>
        <w:ind w:firstLine="480"/>
        <w:rPr>
          <w:rFonts w:hint="default"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4、实施地点：采购人指定地点。</w:t>
      </w:r>
    </w:p>
    <w:p>
      <w:pPr>
        <w:spacing w:line="480" w:lineRule="exact"/>
        <w:ind w:firstLine="480"/>
        <w:rPr>
          <w:rFonts w:hint="eastAsia" w:ascii="宋体" w:hAnsi="宋体" w:eastAsia="宋体" w:cs="宋体"/>
          <w:bCs/>
          <w:color w:val="auto"/>
          <w:sz w:val="24"/>
          <w:szCs w:val="24"/>
          <w:lang w:val="en-US" w:eastAsia="zh-CN" w:bidi="ar-SA"/>
        </w:rPr>
      </w:pPr>
      <w:r>
        <w:rPr>
          <w:rFonts w:hint="eastAsia" w:ascii="宋体" w:hAnsi="宋体" w:eastAsia="宋体" w:cs="宋体"/>
          <w:bCs/>
          <w:color w:val="auto"/>
          <w:sz w:val="24"/>
          <w:szCs w:val="24"/>
          <w:lang w:val="en-US" w:eastAsia="zh-CN" w:bidi="ar-SA"/>
        </w:rPr>
        <w:t>5、付款方式：</w:t>
      </w:r>
    </w:p>
    <w:p>
      <w:pPr>
        <w:spacing w:line="480" w:lineRule="exact"/>
        <w:ind w:firstLine="480"/>
        <w:rPr>
          <w:rFonts w:hint="eastAsia" w:ascii="宋体" w:hAnsi="宋体" w:cs="宋体"/>
          <w:bCs/>
          <w:color w:val="auto"/>
          <w:sz w:val="24"/>
          <w:szCs w:val="24"/>
        </w:rPr>
      </w:pPr>
      <w:r>
        <w:rPr>
          <w:rFonts w:hint="eastAsia" w:ascii="宋体" w:hAnsi="宋体" w:cs="宋体"/>
          <w:bCs/>
          <w:color w:val="auto"/>
          <w:sz w:val="24"/>
          <w:szCs w:val="24"/>
        </w:rPr>
        <w:t>采购合同签订后收到供应商发票后10个工作日内，预付款支付比例:合同金额的10%。</w:t>
      </w:r>
      <w:r>
        <w:rPr>
          <w:rFonts w:hint="eastAsia" w:ascii="宋体" w:hAnsi="宋体" w:cs="宋体"/>
          <w:bCs/>
          <w:color w:val="auto"/>
          <w:sz w:val="24"/>
          <w:szCs w:val="24"/>
          <w:lang w:val="en-US" w:eastAsia="zh-CN"/>
        </w:rPr>
        <w:t>项目</w:t>
      </w:r>
      <w:r>
        <w:rPr>
          <w:rFonts w:hint="eastAsia" w:ascii="宋体" w:hAnsi="宋体" w:cs="宋体"/>
          <w:bCs/>
          <w:color w:val="auto"/>
          <w:sz w:val="24"/>
          <w:szCs w:val="24"/>
        </w:rPr>
        <w:t>经验收合格</w:t>
      </w:r>
      <w:r>
        <w:rPr>
          <w:rFonts w:hint="eastAsia" w:ascii="宋体" w:hAnsi="宋体" w:cs="宋体"/>
          <w:bCs/>
          <w:color w:val="auto"/>
          <w:sz w:val="24"/>
          <w:szCs w:val="24"/>
          <w:lang w:val="en-US" w:eastAsia="zh-CN"/>
        </w:rPr>
        <w:t>后</w:t>
      </w:r>
      <w:r>
        <w:rPr>
          <w:rFonts w:hint="eastAsia" w:ascii="宋体" w:hAnsi="宋体" w:cs="宋体"/>
          <w:bCs/>
          <w:color w:val="auto"/>
          <w:sz w:val="24"/>
          <w:szCs w:val="24"/>
        </w:rPr>
        <w:t>，在收到供应商发票支付至合同总价的50%。服务期（</w:t>
      </w:r>
      <w:r>
        <w:rPr>
          <w:rFonts w:hint="eastAsia" w:ascii="宋体" w:hAnsi="宋体" w:cs="宋体"/>
          <w:bCs/>
          <w:color w:val="auto"/>
          <w:sz w:val="24"/>
          <w:szCs w:val="24"/>
          <w:lang w:val="en-US" w:eastAsia="zh-CN"/>
        </w:rPr>
        <w:t>1</w:t>
      </w:r>
      <w:r>
        <w:rPr>
          <w:rFonts w:hint="eastAsia" w:ascii="宋体" w:hAnsi="宋体" w:cs="宋体"/>
          <w:bCs/>
          <w:color w:val="auto"/>
          <w:sz w:val="24"/>
          <w:szCs w:val="24"/>
        </w:rPr>
        <w:t>年）结束，经考核合格在收到供应商发票后10个工作日内付清余款。</w:t>
      </w:r>
    </w:p>
    <w:p>
      <w:pPr>
        <w:spacing w:line="480" w:lineRule="exact"/>
        <w:ind w:firstLine="480"/>
        <w:rPr>
          <w:rFonts w:hint="eastAsia" w:ascii="宋体" w:hAnsi="宋体" w:eastAsia="宋体" w:cs="宋体"/>
          <w:bCs/>
          <w:color w:val="000000" w:themeColor="text1"/>
          <w:sz w:val="24"/>
          <w:szCs w:val="24"/>
          <w:lang w:val="en-US" w:eastAsia="zh-CN" w:bidi="ar-SA"/>
          <w14:textFill>
            <w14:solidFill>
              <w14:schemeClr w14:val="tx1"/>
            </w14:solidFill>
          </w14:textFill>
        </w:rPr>
      </w:pPr>
      <w:r>
        <w:rPr>
          <w:rFonts w:hint="eastAsia" w:ascii="宋体" w:hAnsi="宋体" w:eastAsia="宋体" w:cs="宋体"/>
          <w:bCs/>
          <w:color w:val="000000" w:themeColor="text1"/>
          <w:sz w:val="24"/>
          <w:szCs w:val="24"/>
          <w:lang w:val="en-US" w:eastAsia="zh-CN" w:bidi="ar-SA"/>
          <w14:textFill>
            <w14:solidFill>
              <w14:schemeClr w14:val="tx1"/>
            </w14:solidFill>
          </w14:textFill>
        </w:rPr>
        <w:t>注：在签订合同时，中标人明确表示无需预付款或者主动要求降低预付款比例的金额，采购人可不适用预付款规定。支付方式可以通过转账或数字人民币等方式。</w:t>
      </w:r>
    </w:p>
    <w:p>
      <w:pPr>
        <w:numPr>
          <w:ilvl w:val="0"/>
          <w:numId w:val="2"/>
        </w:numPr>
        <w:spacing w:line="480" w:lineRule="exact"/>
        <w:ind w:firstLine="480"/>
        <w:rPr>
          <w:rFonts w:hint="eastAsia" w:ascii="黑体" w:hAnsi="黑体" w:eastAsia="黑体"/>
          <w:sz w:val="24"/>
          <w:szCs w:val="24"/>
        </w:rPr>
      </w:pPr>
      <w:bookmarkStart w:id="0" w:name="_Toc27758"/>
      <w:bookmarkStart w:id="1" w:name="_Toc1925"/>
      <w:bookmarkStart w:id="2" w:name="_Toc22911"/>
      <w:bookmarkStart w:id="3" w:name="_Toc27534"/>
      <w:bookmarkStart w:id="4" w:name="_Toc782911155"/>
      <w:r>
        <w:rPr>
          <w:rFonts w:hint="eastAsia" w:ascii="黑体" w:hAnsi="黑体" w:eastAsia="黑体"/>
          <w:sz w:val="24"/>
          <w:szCs w:val="24"/>
        </w:rPr>
        <w:t>采购清单</w:t>
      </w:r>
      <w:r>
        <w:rPr>
          <w:rFonts w:hint="eastAsia" w:ascii="黑体" w:hAnsi="黑体" w:eastAsia="黑体"/>
          <w:sz w:val="24"/>
          <w:szCs w:val="24"/>
          <w:lang w:val="en-US" w:eastAsia="zh-CN"/>
        </w:rPr>
        <w:t>及参数</w:t>
      </w:r>
      <w:r>
        <w:rPr>
          <w:rFonts w:hint="eastAsia" w:ascii="黑体" w:hAnsi="黑体" w:eastAsia="黑体"/>
          <w:sz w:val="24"/>
          <w:szCs w:val="24"/>
        </w:rPr>
        <w:t>要求</w:t>
      </w:r>
    </w:p>
    <w:p>
      <w:pPr>
        <w:pStyle w:val="5"/>
        <w:spacing w:line="480" w:lineRule="exact"/>
        <w:ind w:firstLine="482"/>
        <w:rPr>
          <w:rFonts w:hint="eastAsia" w:ascii="黑体" w:hAnsi="黑体" w:eastAsia="黑体"/>
          <w:sz w:val="24"/>
          <w:szCs w:val="24"/>
        </w:rPr>
      </w:pPr>
      <w:r>
        <w:rPr>
          <w:rFonts w:hint="eastAsia" w:ascii="宋体" w:hAnsi="宋体" w:eastAsia="宋体" w:cs="宋体"/>
          <w:b/>
          <w:color w:val="000000" w:themeColor="text1"/>
          <w:lang w:val="en-US" w:bidi="ar-SA"/>
          <w14:textFill>
            <w14:solidFill>
              <w14:schemeClr w14:val="tx1"/>
            </w14:solidFill>
          </w14:textFill>
        </w:rPr>
        <w:t>（一）采购清单</w:t>
      </w:r>
    </w:p>
    <w:tbl>
      <w:tblPr>
        <w:tblStyle w:val="3"/>
        <w:tblW w:w="48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051"/>
        <w:gridCol w:w="2988"/>
        <w:gridCol w:w="1202"/>
        <w:gridCol w:w="1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blHeader/>
          <w:jc w:val="center"/>
        </w:trPr>
        <w:tc>
          <w:tcPr>
            <w:tcW w:w="486" w:type="pct"/>
            <w:noWrap w:val="0"/>
            <w:vAlign w:val="center"/>
          </w:tcPr>
          <w:p>
            <w:pPr>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序号</w:t>
            </w:r>
          </w:p>
        </w:tc>
        <w:tc>
          <w:tcPr>
            <w:tcW w:w="3027" w:type="pct"/>
            <w:gridSpan w:val="2"/>
            <w:noWrap w:val="0"/>
            <w:vAlign w:val="center"/>
          </w:tcPr>
          <w:p>
            <w:pPr>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产品模块</w:t>
            </w:r>
          </w:p>
        </w:tc>
        <w:tc>
          <w:tcPr>
            <w:tcW w:w="722" w:type="pct"/>
            <w:noWrap w:val="0"/>
            <w:vAlign w:val="center"/>
          </w:tcPr>
          <w:p>
            <w:pPr>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数量</w:t>
            </w:r>
          </w:p>
        </w:tc>
        <w:tc>
          <w:tcPr>
            <w:tcW w:w="764" w:type="pct"/>
            <w:noWrap w:val="0"/>
            <w:vAlign w:val="center"/>
          </w:tcPr>
          <w:p>
            <w:pPr>
              <w:spacing w:line="360" w:lineRule="exact"/>
              <w:jc w:val="center"/>
              <w:rPr>
                <w:rFonts w:asciiTheme="majorEastAsia" w:hAnsiTheme="majorEastAsia" w:eastAsiaTheme="majorEastAsia"/>
                <w:sz w:val="24"/>
                <w:szCs w:val="24"/>
              </w:rPr>
            </w:pPr>
            <w:r>
              <w:rPr>
                <w:rFonts w:hint="eastAsia" w:asciiTheme="majorEastAsia" w:hAnsiTheme="majorEastAsia" w:eastAsiaTheme="majorEastAsia"/>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6" w:type="pct"/>
            <w:noWrap w:val="0"/>
            <w:vAlign w:val="center"/>
          </w:tcPr>
          <w:p>
            <w:pPr>
              <w:spacing w:line="360" w:lineRule="exact"/>
              <w:jc w:val="center"/>
              <w:rPr>
                <w:rFonts w:hint="eastAsia"/>
                <w:sz w:val="24"/>
                <w:szCs w:val="24"/>
              </w:rPr>
            </w:pPr>
            <w:r>
              <w:rPr>
                <w:rFonts w:hint="eastAsia"/>
                <w:sz w:val="24"/>
                <w:szCs w:val="24"/>
              </w:rPr>
              <w:t>1</w:t>
            </w:r>
          </w:p>
        </w:tc>
        <w:tc>
          <w:tcPr>
            <w:tcW w:w="1232" w:type="pct"/>
            <w:vMerge w:val="restart"/>
            <w:noWrap w:val="0"/>
            <w:vAlign w:val="center"/>
          </w:tcPr>
          <w:p>
            <w:pPr>
              <w:spacing w:line="360" w:lineRule="exact"/>
              <w:jc w:val="left"/>
              <w:rPr>
                <w:rFonts w:hint="eastAsia"/>
                <w:sz w:val="24"/>
                <w:szCs w:val="24"/>
              </w:rPr>
            </w:pPr>
            <w:r>
              <w:rPr>
                <w:rFonts w:hint="eastAsia"/>
                <w:sz w:val="24"/>
                <w:szCs w:val="24"/>
                <w:lang w:val="en-US" w:eastAsia="zh-CN"/>
              </w:rPr>
              <w:t>泗洪县公安局新型犯罪仿真实验室项目</w:t>
            </w:r>
          </w:p>
        </w:tc>
        <w:tc>
          <w:tcPr>
            <w:tcW w:w="1795" w:type="pct"/>
            <w:noWrap w:val="0"/>
            <w:vAlign w:val="center"/>
          </w:tcPr>
          <w:p>
            <w:pPr>
              <w:spacing w:line="360" w:lineRule="exact"/>
              <w:jc w:val="center"/>
              <w:rPr>
                <w:rFonts w:hint="eastAsia"/>
                <w:sz w:val="24"/>
                <w:szCs w:val="24"/>
              </w:rPr>
            </w:pPr>
            <w:r>
              <w:rPr>
                <w:rFonts w:hint="eastAsia"/>
                <w:sz w:val="24"/>
                <w:szCs w:val="24"/>
                <w:lang w:val="en-US" w:eastAsia="zh-CN"/>
              </w:rPr>
              <w:t>虚拟货币案件智能研判平台</w:t>
            </w:r>
          </w:p>
        </w:tc>
        <w:tc>
          <w:tcPr>
            <w:tcW w:w="722" w:type="pct"/>
            <w:noWrap w:val="0"/>
            <w:vAlign w:val="center"/>
          </w:tcPr>
          <w:p>
            <w:pPr>
              <w:spacing w:line="360" w:lineRule="exact"/>
              <w:jc w:val="center"/>
              <w:rPr>
                <w:rFonts w:hint="eastAsia"/>
                <w:sz w:val="24"/>
                <w:szCs w:val="24"/>
              </w:rPr>
            </w:pPr>
            <w:r>
              <w:rPr>
                <w:rFonts w:hint="eastAsia"/>
                <w:sz w:val="24"/>
                <w:szCs w:val="24"/>
              </w:rPr>
              <w:t>1</w:t>
            </w:r>
          </w:p>
        </w:tc>
        <w:tc>
          <w:tcPr>
            <w:tcW w:w="764" w:type="pct"/>
            <w:noWrap w:val="0"/>
            <w:vAlign w:val="center"/>
          </w:tcPr>
          <w:p>
            <w:pPr>
              <w:spacing w:line="360" w:lineRule="exact"/>
              <w:jc w:val="center"/>
              <w:rPr>
                <w:rFonts w:hint="eastAsia"/>
                <w:sz w:val="24"/>
                <w:szCs w:val="24"/>
              </w:rPr>
            </w:pPr>
            <w:r>
              <w:rPr>
                <w:rFonts w:hint="eastAsia"/>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6" w:type="pct"/>
            <w:noWrap w:val="0"/>
            <w:vAlign w:val="center"/>
          </w:tcPr>
          <w:p>
            <w:pPr>
              <w:spacing w:line="360" w:lineRule="exact"/>
              <w:jc w:val="center"/>
              <w:rPr>
                <w:rFonts w:hint="eastAsia"/>
                <w:sz w:val="24"/>
                <w:szCs w:val="24"/>
              </w:rPr>
            </w:pPr>
            <w:r>
              <w:rPr>
                <w:rFonts w:hint="eastAsia"/>
                <w:sz w:val="24"/>
                <w:szCs w:val="24"/>
              </w:rPr>
              <w:t>2</w:t>
            </w:r>
          </w:p>
        </w:tc>
        <w:tc>
          <w:tcPr>
            <w:tcW w:w="1232" w:type="pct"/>
            <w:vMerge w:val="continue"/>
            <w:noWrap w:val="0"/>
            <w:vAlign w:val="center"/>
          </w:tcPr>
          <w:p>
            <w:pPr>
              <w:spacing w:line="360" w:lineRule="exact"/>
              <w:rPr>
                <w:rFonts w:hint="eastAsia"/>
                <w:sz w:val="24"/>
                <w:szCs w:val="24"/>
              </w:rPr>
            </w:pPr>
          </w:p>
        </w:tc>
        <w:tc>
          <w:tcPr>
            <w:tcW w:w="1795" w:type="pct"/>
            <w:noWrap w:val="0"/>
            <w:vAlign w:val="center"/>
          </w:tcPr>
          <w:p>
            <w:pPr>
              <w:spacing w:line="360" w:lineRule="exact"/>
              <w:jc w:val="center"/>
              <w:rPr>
                <w:rFonts w:hint="eastAsia"/>
                <w:sz w:val="24"/>
                <w:szCs w:val="24"/>
              </w:rPr>
            </w:pPr>
            <w:r>
              <w:rPr>
                <w:rFonts w:hint="eastAsia"/>
                <w:sz w:val="24"/>
                <w:szCs w:val="24"/>
                <w:lang w:val="en-US" w:eastAsia="zh-CN"/>
              </w:rPr>
              <w:t>猎刃大数据智能平台</w:t>
            </w:r>
          </w:p>
        </w:tc>
        <w:tc>
          <w:tcPr>
            <w:tcW w:w="722" w:type="pct"/>
            <w:noWrap w:val="0"/>
            <w:vAlign w:val="center"/>
          </w:tcPr>
          <w:p>
            <w:pPr>
              <w:spacing w:line="360" w:lineRule="exact"/>
              <w:jc w:val="center"/>
              <w:rPr>
                <w:rFonts w:hint="eastAsia"/>
                <w:sz w:val="24"/>
                <w:szCs w:val="24"/>
              </w:rPr>
            </w:pPr>
            <w:r>
              <w:rPr>
                <w:rFonts w:hint="eastAsia"/>
                <w:sz w:val="24"/>
                <w:szCs w:val="24"/>
              </w:rPr>
              <w:t>1</w:t>
            </w:r>
          </w:p>
        </w:tc>
        <w:tc>
          <w:tcPr>
            <w:tcW w:w="764" w:type="pct"/>
            <w:noWrap w:val="0"/>
            <w:vAlign w:val="center"/>
          </w:tcPr>
          <w:p>
            <w:pPr>
              <w:spacing w:line="360" w:lineRule="exact"/>
              <w:jc w:val="center"/>
              <w:rPr>
                <w:rFonts w:hint="eastAsia"/>
                <w:sz w:val="24"/>
                <w:szCs w:val="24"/>
              </w:rPr>
            </w:pPr>
            <w:r>
              <w:rPr>
                <w:rFonts w:hint="eastAsia"/>
                <w:sz w:val="24"/>
                <w:szCs w:val="24"/>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86" w:type="pct"/>
            <w:noWrap w:val="0"/>
            <w:vAlign w:val="center"/>
          </w:tcPr>
          <w:p>
            <w:pPr>
              <w:spacing w:line="360" w:lineRule="exact"/>
              <w:jc w:val="center"/>
              <w:rPr>
                <w:rFonts w:hint="eastAsia"/>
                <w:sz w:val="24"/>
                <w:szCs w:val="24"/>
              </w:rPr>
            </w:pPr>
            <w:r>
              <w:rPr>
                <w:rFonts w:hint="eastAsia"/>
                <w:sz w:val="24"/>
                <w:szCs w:val="24"/>
              </w:rPr>
              <w:t>3</w:t>
            </w:r>
          </w:p>
        </w:tc>
        <w:tc>
          <w:tcPr>
            <w:tcW w:w="1232" w:type="pct"/>
            <w:vMerge w:val="continue"/>
            <w:noWrap w:val="0"/>
            <w:vAlign w:val="center"/>
          </w:tcPr>
          <w:p>
            <w:pPr>
              <w:spacing w:line="360" w:lineRule="exact"/>
              <w:rPr>
                <w:rFonts w:hint="eastAsia"/>
                <w:sz w:val="24"/>
                <w:szCs w:val="24"/>
              </w:rPr>
            </w:pPr>
          </w:p>
        </w:tc>
        <w:tc>
          <w:tcPr>
            <w:tcW w:w="1795" w:type="pct"/>
            <w:noWrap w:val="0"/>
            <w:vAlign w:val="center"/>
          </w:tcPr>
          <w:p>
            <w:pPr>
              <w:spacing w:line="360" w:lineRule="exact"/>
              <w:jc w:val="center"/>
              <w:rPr>
                <w:rFonts w:hint="eastAsia"/>
                <w:sz w:val="24"/>
                <w:szCs w:val="24"/>
              </w:rPr>
            </w:pPr>
            <w:r>
              <w:rPr>
                <w:rFonts w:hint="eastAsia"/>
                <w:sz w:val="24"/>
                <w:szCs w:val="24"/>
                <w:lang w:val="en-US" w:eastAsia="zh-CN"/>
              </w:rPr>
              <w:t>反网络犯罪实战演练平台</w:t>
            </w:r>
          </w:p>
        </w:tc>
        <w:tc>
          <w:tcPr>
            <w:tcW w:w="722" w:type="pct"/>
            <w:noWrap w:val="0"/>
            <w:vAlign w:val="center"/>
          </w:tcPr>
          <w:p>
            <w:pPr>
              <w:spacing w:line="360" w:lineRule="exact"/>
              <w:jc w:val="center"/>
              <w:rPr>
                <w:rFonts w:hint="eastAsia"/>
                <w:sz w:val="24"/>
                <w:szCs w:val="24"/>
              </w:rPr>
            </w:pPr>
            <w:r>
              <w:rPr>
                <w:rFonts w:hint="eastAsia"/>
                <w:sz w:val="24"/>
                <w:szCs w:val="24"/>
              </w:rPr>
              <w:t>1</w:t>
            </w:r>
          </w:p>
        </w:tc>
        <w:tc>
          <w:tcPr>
            <w:tcW w:w="764" w:type="pct"/>
            <w:noWrap w:val="0"/>
            <w:vAlign w:val="center"/>
          </w:tcPr>
          <w:p>
            <w:pPr>
              <w:spacing w:line="360" w:lineRule="exact"/>
              <w:jc w:val="center"/>
              <w:rPr>
                <w:rFonts w:hint="eastAsia"/>
                <w:sz w:val="24"/>
                <w:szCs w:val="24"/>
              </w:rPr>
            </w:pPr>
            <w:r>
              <w:rPr>
                <w:rFonts w:hint="eastAsia"/>
                <w:sz w:val="24"/>
                <w:szCs w:val="24"/>
              </w:rPr>
              <w:t>套</w:t>
            </w:r>
          </w:p>
        </w:tc>
      </w:tr>
    </w:tbl>
    <w:p>
      <w:pPr>
        <w:pStyle w:val="5"/>
        <w:spacing w:line="360" w:lineRule="auto"/>
        <w:rPr>
          <w:rFonts w:hint="eastAsia" w:ascii="宋体" w:hAnsi="宋体" w:eastAsia="宋体" w:cs="宋体"/>
          <w:b/>
          <w:color w:val="000000" w:themeColor="text1"/>
          <w:lang w:val="en-US" w:bidi="ar-SA"/>
          <w14:textFill>
            <w14:solidFill>
              <w14:schemeClr w14:val="tx1"/>
            </w14:solidFill>
          </w14:textFill>
        </w:rPr>
      </w:pPr>
    </w:p>
    <w:p>
      <w:pPr>
        <w:pStyle w:val="5"/>
        <w:spacing w:line="360" w:lineRule="auto"/>
        <w:rPr>
          <w:rFonts w:hint="eastAsia" w:ascii="宋体" w:hAnsi="宋体" w:eastAsia="宋体" w:cs="宋体"/>
          <w:b/>
          <w:color w:val="000000" w:themeColor="text1"/>
          <w:lang w:val="en-US" w:bidi="ar-SA"/>
          <w14:textFill>
            <w14:solidFill>
              <w14:schemeClr w14:val="tx1"/>
            </w14:solidFill>
          </w14:textFill>
        </w:rPr>
      </w:pPr>
    </w:p>
    <w:p>
      <w:pPr>
        <w:pStyle w:val="5"/>
        <w:spacing w:line="360" w:lineRule="auto"/>
        <w:rPr>
          <w:rFonts w:hint="eastAsia" w:ascii="宋体" w:hAnsi="宋体" w:eastAsia="宋体" w:cs="宋体"/>
          <w:b/>
          <w:color w:val="000000" w:themeColor="text1"/>
          <w:lang w:val="en-US" w:bidi="ar-SA"/>
          <w14:textFill>
            <w14:solidFill>
              <w14:schemeClr w14:val="tx1"/>
            </w14:solidFill>
          </w14:textFill>
        </w:rPr>
      </w:pPr>
    </w:p>
    <w:p>
      <w:pPr>
        <w:pStyle w:val="5"/>
        <w:numPr>
          <w:ilvl w:val="0"/>
          <w:numId w:val="3"/>
        </w:numPr>
        <w:spacing w:line="480" w:lineRule="exact"/>
        <w:ind w:firstLine="482"/>
        <w:rPr>
          <w:rFonts w:hint="eastAsia" w:ascii="宋体" w:hAnsi="宋体" w:eastAsia="宋体" w:cs="宋体"/>
          <w:b/>
          <w:color w:val="000000" w:themeColor="text1"/>
          <w:lang w:val="en-US" w:bidi="ar-SA"/>
          <w14:textFill>
            <w14:solidFill>
              <w14:schemeClr w14:val="tx1"/>
            </w14:solidFill>
          </w14:textFill>
        </w:rPr>
      </w:pPr>
      <w:r>
        <w:rPr>
          <w:rFonts w:hint="eastAsia" w:ascii="宋体" w:hAnsi="宋体" w:eastAsia="宋体" w:cs="宋体"/>
          <w:b/>
          <w:color w:val="000000" w:themeColor="text1"/>
          <w:lang w:val="en-US" w:bidi="ar-SA"/>
          <w14:textFill>
            <w14:solidFill>
              <w14:schemeClr w14:val="tx1"/>
            </w14:solidFill>
          </w14:textFill>
        </w:rPr>
        <w:t>功能描述及要求</w:t>
      </w:r>
    </w:p>
    <w:bookmarkEnd w:id="0"/>
    <w:bookmarkEnd w:id="1"/>
    <w:bookmarkEnd w:id="2"/>
    <w:bookmarkEnd w:id="3"/>
    <w:bookmarkEnd w:id="4"/>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因本项目采购需求不宜公开，请供应商于征求意见公告</w:t>
      </w:r>
      <w:r>
        <w:rPr>
          <w:rFonts w:hint="eastAsia" w:ascii="宋体" w:hAnsi="宋体" w:cs="宋体"/>
          <w:iCs/>
          <w:color w:val="FF0000"/>
          <w:sz w:val="24"/>
          <w:szCs w:val="24"/>
          <w:highlight w:val="none"/>
          <w:lang w:val="en-US" w:eastAsia="zh-CN" w:bidi="ar-SA"/>
        </w:rPr>
        <w:t>中</w:t>
      </w:r>
      <w:r>
        <w:rPr>
          <w:rFonts w:hint="eastAsia" w:ascii="宋体" w:hAnsi="宋体" w:eastAsia="宋体" w:cs="宋体"/>
          <w:iCs/>
          <w:color w:val="FF0000"/>
          <w:sz w:val="24"/>
          <w:szCs w:val="24"/>
          <w:highlight w:val="none"/>
          <w:lang w:val="en-US" w:eastAsia="zh-CN" w:bidi="ar-SA"/>
        </w:rPr>
        <w:t>采购</w:t>
      </w:r>
      <w:r>
        <w:rPr>
          <w:rFonts w:hint="eastAsia" w:ascii="宋体" w:hAnsi="宋体" w:cs="宋体"/>
          <w:iCs/>
          <w:color w:val="FF0000"/>
          <w:sz w:val="24"/>
          <w:szCs w:val="24"/>
          <w:highlight w:val="none"/>
          <w:lang w:val="en-US" w:eastAsia="zh-CN" w:bidi="ar-SA"/>
        </w:rPr>
        <w:t>需求</w:t>
      </w:r>
      <w:r>
        <w:rPr>
          <w:rFonts w:hint="eastAsia" w:ascii="宋体" w:hAnsi="宋体" w:eastAsia="宋体" w:cs="宋体"/>
          <w:iCs/>
          <w:color w:val="FF0000"/>
          <w:sz w:val="24"/>
          <w:szCs w:val="24"/>
          <w:highlight w:val="none"/>
          <w:lang w:val="en-US" w:eastAsia="zh-CN" w:bidi="ar-SA"/>
        </w:rPr>
        <w:t>获取期限内，至</w:t>
      </w:r>
      <w:r>
        <w:rPr>
          <w:rFonts w:hint="eastAsia" w:ascii="宋体" w:hAnsi="宋体" w:cs="宋体"/>
          <w:iCs/>
          <w:color w:val="FF0000"/>
          <w:sz w:val="24"/>
          <w:szCs w:val="24"/>
          <w:highlight w:val="none"/>
          <w:lang w:val="en-US" w:eastAsia="zh-CN" w:bidi="ar-SA"/>
        </w:rPr>
        <w:t>泗洪县</w:t>
      </w:r>
      <w:r>
        <w:rPr>
          <w:rFonts w:hint="eastAsia" w:ascii="宋体" w:hAnsi="宋体" w:eastAsia="宋体" w:cs="宋体"/>
          <w:iCs/>
          <w:color w:val="FF0000"/>
          <w:sz w:val="24"/>
          <w:szCs w:val="24"/>
          <w:highlight w:val="none"/>
          <w:lang w:val="en-US" w:eastAsia="zh-CN" w:bidi="ar-SA"/>
        </w:rPr>
        <w:t>公安局领取本项目详细采购需求，领取前请与采购人联系确定具体时间。</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获取地点:</w:t>
      </w:r>
      <w:r>
        <w:rPr>
          <w:rFonts w:hint="eastAsia" w:ascii="宋体" w:hAnsi="宋体" w:cs="宋体"/>
          <w:iCs/>
          <w:color w:val="FF0000"/>
          <w:sz w:val="24"/>
          <w:szCs w:val="24"/>
          <w:highlight w:val="none"/>
          <w:lang w:val="en-US" w:eastAsia="zh-CN" w:bidi="ar-SA"/>
        </w:rPr>
        <w:t>泗洪县</w:t>
      </w:r>
      <w:r>
        <w:rPr>
          <w:rFonts w:hint="eastAsia" w:ascii="宋体" w:hAnsi="宋体" w:eastAsia="宋体" w:cs="宋体"/>
          <w:iCs/>
          <w:color w:val="FF0000"/>
          <w:sz w:val="24"/>
          <w:szCs w:val="24"/>
          <w:highlight w:val="none"/>
          <w:lang w:val="en-US" w:eastAsia="zh-CN" w:bidi="ar-SA"/>
        </w:rPr>
        <w:t>公安局</w:t>
      </w:r>
      <w:r>
        <w:rPr>
          <w:rFonts w:hint="eastAsia" w:ascii="宋体" w:hAnsi="宋体" w:cs="宋体"/>
          <w:iCs/>
          <w:color w:val="FF0000"/>
          <w:sz w:val="24"/>
          <w:szCs w:val="24"/>
          <w:highlight w:val="none"/>
          <w:lang w:val="en-US" w:eastAsia="zh-CN" w:bidi="ar-SA"/>
        </w:rPr>
        <w:t>三楼</w:t>
      </w:r>
      <w:r>
        <w:rPr>
          <w:rFonts w:hint="eastAsia" w:ascii="宋体" w:hAnsi="宋体" w:eastAsia="宋体" w:cs="宋体"/>
          <w:iCs/>
          <w:color w:val="FF0000"/>
          <w:sz w:val="24"/>
          <w:szCs w:val="24"/>
          <w:highlight w:val="none"/>
          <w:lang w:val="en-US" w:eastAsia="zh-CN" w:bidi="ar-SA"/>
        </w:rPr>
        <w:t>;</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需携带的材料:项目安全保密协议(签字盖章，一式两份，格式</w:t>
      </w:r>
      <w:r>
        <w:rPr>
          <w:rFonts w:hint="eastAsia" w:ascii="宋体" w:hAnsi="宋体" w:cs="宋体"/>
          <w:iCs/>
          <w:color w:val="FF0000"/>
          <w:sz w:val="24"/>
          <w:szCs w:val="24"/>
          <w:highlight w:val="none"/>
          <w:lang w:val="en-US" w:eastAsia="zh-CN" w:bidi="ar-SA"/>
        </w:rPr>
        <w:t>见附件</w:t>
      </w:r>
      <w:r>
        <w:rPr>
          <w:rFonts w:hint="eastAsia" w:ascii="宋体" w:hAnsi="宋体" w:eastAsia="宋体" w:cs="宋体"/>
          <w:iCs/>
          <w:color w:val="FF0000"/>
          <w:sz w:val="24"/>
          <w:szCs w:val="24"/>
          <w:highlight w:val="none"/>
          <w:lang w:val="en-US" w:eastAsia="zh-CN" w:bidi="ar-SA"/>
        </w:rPr>
        <w:t>)、公司营业执照复印件、授权书原件、授权代表身份证原件、授权代表近三个月社保证明。</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联系人:</w:t>
      </w:r>
      <w:r>
        <w:rPr>
          <w:rFonts w:hint="eastAsia" w:ascii="宋体" w:hAnsi="宋体"/>
          <w:color w:val="FF0000"/>
          <w:sz w:val="24"/>
          <w:szCs w:val="24"/>
          <w:highlight w:val="none"/>
        </w:rPr>
        <w:t>周</w:t>
      </w:r>
      <w:r>
        <w:rPr>
          <w:rFonts w:hint="eastAsia" w:ascii="宋体" w:hAnsi="宋体"/>
          <w:color w:val="FF0000"/>
          <w:sz w:val="24"/>
          <w:szCs w:val="24"/>
          <w:highlight w:val="none"/>
          <w:lang w:val="en-US" w:eastAsia="zh-CN"/>
        </w:rPr>
        <w:t>警官</w:t>
      </w:r>
      <w:bookmarkStart w:id="12" w:name="_GoBack"/>
      <w:bookmarkEnd w:id="12"/>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联系电话:</w:t>
      </w:r>
      <w:r>
        <w:rPr>
          <w:rFonts w:hint="eastAsia" w:ascii="宋体" w:hAnsi="宋体"/>
          <w:color w:val="FF0000"/>
          <w:sz w:val="24"/>
          <w:szCs w:val="24"/>
          <w:highlight w:val="none"/>
        </w:rPr>
        <w:t>0527-88356112</w:t>
      </w:r>
    </w:p>
    <w:p>
      <w:pPr>
        <w:widowControl w:val="0"/>
        <w:spacing w:line="500" w:lineRule="exact"/>
        <w:ind w:firstLine="480"/>
        <w:jc w:val="both"/>
        <w:rPr>
          <w:rFonts w:hint="eastAsia" w:ascii="宋体" w:hAnsi="宋体" w:eastAsia="宋体" w:cs="宋体"/>
          <w:iCs/>
          <w:color w:val="FF0000"/>
          <w:sz w:val="24"/>
          <w:szCs w:val="24"/>
          <w:highlight w:val="none"/>
          <w:lang w:val="en-US" w:eastAsia="zh-CN" w:bidi="ar-SA"/>
        </w:rPr>
      </w:pPr>
      <w:r>
        <w:rPr>
          <w:rFonts w:hint="eastAsia" w:ascii="宋体" w:hAnsi="宋体" w:eastAsia="宋体" w:cs="宋体"/>
          <w:iCs/>
          <w:color w:val="FF0000"/>
          <w:sz w:val="24"/>
          <w:szCs w:val="24"/>
          <w:highlight w:val="none"/>
          <w:lang w:val="en-US" w:eastAsia="zh-CN" w:bidi="ar-SA"/>
        </w:rPr>
        <w:t>联系地址:</w:t>
      </w:r>
      <w:r>
        <w:rPr>
          <w:rFonts w:hint="eastAsia" w:ascii="宋体" w:hAnsi="宋体"/>
          <w:color w:val="FF0000"/>
          <w:sz w:val="24"/>
          <w:szCs w:val="24"/>
          <w:highlight w:val="none"/>
        </w:rPr>
        <w:t>泗洪县淮河东路6号</w:t>
      </w:r>
    </w:p>
    <w:p>
      <w:pPr>
        <w:spacing w:line="480" w:lineRule="exact"/>
        <w:ind w:firstLine="480"/>
        <w:rPr>
          <w:rFonts w:hint="eastAsia" w:ascii="黑体" w:hAnsi="黑体" w:eastAsia="黑体" w:cs="Times New Roman"/>
          <w:color w:val="auto"/>
          <w:sz w:val="24"/>
          <w:szCs w:val="24"/>
        </w:rPr>
      </w:pPr>
      <w:r>
        <w:rPr>
          <w:rFonts w:hint="eastAsia" w:ascii="黑体" w:hAnsi="黑体" w:eastAsia="黑体" w:cs="Times New Roman"/>
          <w:color w:val="auto"/>
          <w:sz w:val="24"/>
          <w:szCs w:val="24"/>
        </w:rPr>
        <w:t>四、</w:t>
      </w:r>
      <w:r>
        <w:rPr>
          <w:rFonts w:hint="eastAsia" w:ascii="黑体" w:hAnsi="黑体" w:eastAsia="黑体" w:cs="Times New Roman"/>
          <w:color w:val="auto"/>
          <w:sz w:val="24"/>
          <w:szCs w:val="24"/>
          <w:lang w:val="en-US" w:eastAsia="zh-CN"/>
        </w:rPr>
        <w:t>专业技术支撑服务</w:t>
      </w:r>
    </w:p>
    <w:p>
      <w:pPr>
        <w:widowControl w:val="0"/>
        <w:spacing w:line="500" w:lineRule="exact"/>
        <w:ind w:firstLine="480"/>
        <w:jc w:val="both"/>
        <w:rPr>
          <w:rFonts w:hint="eastAsia" w:ascii="宋体" w:hAnsi="宋体" w:eastAsia="宋体" w:cs="宋体"/>
          <w:iCs/>
          <w:color w:val="auto"/>
          <w:sz w:val="24"/>
          <w:szCs w:val="24"/>
          <w:highlight w:val="none"/>
          <w:lang w:val="en-US" w:eastAsia="zh-CN" w:bidi="ar-SA"/>
        </w:rPr>
      </w:pPr>
      <w:r>
        <w:rPr>
          <w:rFonts w:hint="eastAsia" w:ascii="宋体" w:hAnsi="宋体" w:eastAsia="宋体" w:cs="宋体"/>
          <w:iCs/>
          <w:color w:val="auto"/>
          <w:sz w:val="24"/>
          <w:szCs w:val="24"/>
          <w:highlight w:val="none"/>
          <w:lang w:val="en-US" w:eastAsia="zh-CN" w:bidi="ar-SA"/>
        </w:rPr>
        <w:t>1、供应商至少提供驻场人员不低于2人提供1年相关技术支撑服务。</w:t>
      </w:r>
    </w:p>
    <w:p>
      <w:pPr>
        <w:widowControl w:val="0"/>
        <w:spacing w:line="500" w:lineRule="exact"/>
        <w:ind w:firstLine="480"/>
        <w:jc w:val="both"/>
        <w:rPr>
          <w:rFonts w:hint="default" w:ascii="宋体" w:hAnsi="宋体" w:eastAsia="宋体" w:cs="宋体"/>
          <w:iCs/>
          <w:color w:val="auto"/>
          <w:sz w:val="24"/>
          <w:szCs w:val="24"/>
          <w:highlight w:val="none"/>
          <w:lang w:val="en-US" w:eastAsia="zh-CN" w:bidi="ar-SA"/>
        </w:rPr>
      </w:pPr>
      <w:r>
        <w:rPr>
          <w:rFonts w:hint="eastAsia" w:ascii="宋体" w:hAnsi="宋体" w:eastAsia="宋体" w:cs="宋体"/>
          <w:iCs/>
          <w:color w:val="auto"/>
          <w:sz w:val="24"/>
          <w:szCs w:val="24"/>
          <w:highlight w:val="none"/>
          <w:lang w:val="en-US" w:eastAsia="zh-CN" w:bidi="ar-SA"/>
        </w:rPr>
        <w:t>2、熟悉Windows和Linux操作系统基本命令、熟悉网络通信相关知识和常见的网络技术，熟悉TCP/IP网络协议、DNS等相关知识；</w:t>
      </w:r>
    </w:p>
    <w:p>
      <w:pPr>
        <w:widowControl w:val="0"/>
        <w:spacing w:line="500" w:lineRule="exact"/>
        <w:ind w:firstLine="480"/>
        <w:jc w:val="both"/>
        <w:rPr>
          <w:rFonts w:hint="eastAsia" w:ascii="宋体" w:hAnsi="宋体" w:eastAsia="宋体" w:cs="宋体"/>
          <w:iCs/>
          <w:color w:val="auto"/>
          <w:sz w:val="24"/>
          <w:szCs w:val="24"/>
          <w:highlight w:val="none"/>
          <w:lang w:val="en-US" w:eastAsia="zh-CN" w:bidi="ar-SA"/>
        </w:rPr>
      </w:pPr>
      <w:r>
        <w:rPr>
          <w:rFonts w:hint="eastAsia" w:ascii="宋体" w:hAnsi="宋体" w:eastAsia="宋体" w:cs="宋体"/>
          <w:iCs/>
          <w:color w:val="auto"/>
          <w:sz w:val="24"/>
          <w:szCs w:val="24"/>
          <w:highlight w:val="none"/>
          <w:lang w:val="en-US" w:eastAsia="zh-CN" w:bidi="ar-SA"/>
        </w:rPr>
        <w:t>3、</w:t>
      </w:r>
      <w:r>
        <w:rPr>
          <w:rFonts w:hint="default" w:ascii="宋体" w:hAnsi="宋体" w:eastAsia="宋体" w:cs="宋体"/>
          <w:iCs/>
          <w:color w:val="auto"/>
          <w:sz w:val="24"/>
          <w:szCs w:val="24"/>
          <w:highlight w:val="none"/>
          <w:lang w:val="en-US" w:eastAsia="zh-CN" w:bidi="ar-SA"/>
        </w:rPr>
        <w:t>熟悉使用数据分析工具</w:t>
      </w:r>
      <w:r>
        <w:rPr>
          <w:rFonts w:hint="eastAsia" w:ascii="宋体" w:hAnsi="宋体" w:eastAsia="宋体" w:cs="宋体"/>
          <w:iCs/>
          <w:color w:val="auto"/>
          <w:sz w:val="24"/>
          <w:szCs w:val="24"/>
          <w:highlight w:val="none"/>
          <w:lang w:val="en-US" w:eastAsia="zh-CN" w:bidi="ar-SA"/>
        </w:rPr>
        <w:t>，数据管理和处理能力，尤其熟悉Excel、SQL或大数据工具（如Python、Pandas）；</w:t>
      </w:r>
    </w:p>
    <w:p>
      <w:pPr>
        <w:widowControl w:val="0"/>
        <w:spacing w:line="500" w:lineRule="exact"/>
        <w:ind w:firstLine="480"/>
        <w:jc w:val="both"/>
        <w:rPr>
          <w:rFonts w:hint="eastAsia" w:ascii="宋体" w:hAnsi="宋体" w:eastAsia="宋体" w:cs="宋体"/>
          <w:iCs/>
          <w:color w:val="auto"/>
          <w:sz w:val="24"/>
          <w:szCs w:val="24"/>
          <w:highlight w:val="none"/>
          <w:lang w:val="en-US" w:eastAsia="zh-CN" w:bidi="ar-SA"/>
        </w:rPr>
      </w:pPr>
      <w:r>
        <w:rPr>
          <w:rFonts w:hint="eastAsia" w:ascii="宋体" w:hAnsi="宋体" w:eastAsia="宋体" w:cs="宋体"/>
          <w:iCs/>
          <w:color w:val="auto"/>
          <w:sz w:val="24"/>
          <w:szCs w:val="24"/>
          <w:highlight w:val="none"/>
          <w:lang w:val="en-US" w:eastAsia="zh-CN" w:bidi="ar-SA"/>
        </w:rPr>
        <w:t>4、了解交换机、路由器等网络设备的基本配置；</w:t>
      </w:r>
    </w:p>
    <w:p>
      <w:pPr>
        <w:widowControl w:val="0"/>
        <w:spacing w:line="500" w:lineRule="exact"/>
        <w:ind w:firstLine="480"/>
        <w:jc w:val="both"/>
        <w:rPr>
          <w:rFonts w:hint="eastAsia" w:ascii="宋体" w:hAnsi="宋体" w:eastAsia="宋体" w:cs="宋体"/>
          <w:iCs/>
          <w:color w:val="auto"/>
          <w:sz w:val="24"/>
          <w:szCs w:val="24"/>
          <w:highlight w:val="none"/>
          <w:lang w:val="en-US" w:eastAsia="zh-CN" w:bidi="ar-SA"/>
        </w:rPr>
      </w:pPr>
      <w:r>
        <w:rPr>
          <w:rFonts w:hint="eastAsia" w:ascii="宋体" w:hAnsi="宋体" w:eastAsia="宋体" w:cs="宋体"/>
          <w:iCs/>
          <w:color w:val="auto"/>
          <w:sz w:val="24"/>
          <w:szCs w:val="24"/>
          <w:highlight w:val="none"/>
          <w:lang w:val="en-US" w:eastAsia="zh-CN" w:bidi="ar-SA"/>
        </w:rPr>
        <w:t>5、具备敏锐的洞察力和良好的信息分析能力；</w:t>
      </w:r>
    </w:p>
    <w:p>
      <w:pPr>
        <w:spacing w:line="480" w:lineRule="exact"/>
        <w:ind w:firstLine="480"/>
        <w:rPr>
          <w:rFonts w:hint="eastAsia" w:ascii="宋体" w:hAnsi="宋体" w:eastAsia="宋体" w:cs="宋体"/>
          <w:iCs/>
          <w:color w:val="auto"/>
          <w:sz w:val="24"/>
          <w:szCs w:val="24"/>
          <w:highlight w:val="none"/>
          <w:lang w:val="en-US" w:eastAsia="zh-CN" w:bidi="ar-SA"/>
        </w:rPr>
      </w:pPr>
      <w:r>
        <w:rPr>
          <w:rFonts w:hint="eastAsia" w:ascii="宋体" w:hAnsi="宋体" w:eastAsia="宋体" w:cs="宋体"/>
          <w:iCs/>
          <w:color w:val="auto"/>
          <w:sz w:val="24"/>
          <w:szCs w:val="24"/>
          <w:highlight w:val="none"/>
          <w:lang w:val="en-US" w:eastAsia="zh-CN" w:bidi="ar-SA"/>
        </w:rPr>
        <w:t>6、维护公安部门使用的专用技术设备，确保其稳定性和可靠性，配合公安机关完成日常的案件的梳理、汇报等工作。</w:t>
      </w:r>
    </w:p>
    <w:p>
      <w:pPr>
        <w:spacing w:line="480" w:lineRule="exact"/>
        <w:ind w:firstLine="480"/>
        <w:rPr>
          <w:rFonts w:ascii="宋体" w:hAnsi="宋体" w:cs="宋体"/>
          <w:b/>
          <w:color w:val="auto"/>
          <w:sz w:val="24"/>
          <w:szCs w:val="24"/>
        </w:rPr>
      </w:pPr>
      <w:r>
        <w:rPr>
          <w:rFonts w:hint="eastAsia" w:ascii="黑体" w:hAnsi="黑体" w:eastAsia="黑体"/>
          <w:color w:val="auto"/>
          <w:sz w:val="24"/>
          <w:szCs w:val="24"/>
        </w:rPr>
        <w:t>五、项目实施要求</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1、供应商针对本项目作出详细可行的项目实施方案。供应商应具备专业的信息系统建设和服务能力，保障建设质量并顺利交付。项目实施方案包括不限于项目实施进度、管理制度、项目计划等。</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2、供应商具有完整的项目实施组织机构，明确项目计划、有详细的项目分工，并且在响应文件中提供项目组成员名单、项目成员基本情况等信息。</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3、供应商应从项目质量保证方面阐述本项目实施的质量保证措施。</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4、供应商应分析项目存在的各种风险，阐述应对策略和措施。</w:t>
      </w:r>
    </w:p>
    <w:p>
      <w:pPr>
        <w:spacing w:line="480" w:lineRule="exact"/>
        <w:ind w:firstLine="480"/>
        <w:rPr>
          <w:rFonts w:ascii="宋体" w:hAnsi="宋体" w:cs="宋体"/>
          <w:b/>
          <w:color w:val="auto"/>
          <w:sz w:val="24"/>
          <w:szCs w:val="24"/>
        </w:rPr>
      </w:pPr>
      <w:r>
        <w:rPr>
          <w:rFonts w:hint="eastAsia" w:cs="宋体" w:asciiTheme="minorEastAsia" w:hAnsiTheme="minorEastAsia"/>
          <w:bCs/>
          <w:color w:val="auto"/>
          <w:sz w:val="24"/>
          <w:szCs w:val="24"/>
        </w:rPr>
        <w:t>5、实施过程中，应定期提交项目实施相关信息。</w:t>
      </w:r>
    </w:p>
    <w:p>
      <w:pPr>
        <w:spacing w:line="480" w:lineRule="exact"/>
        <w:ind w:firstLine="480"/>
        <w:rPr>
          <w:rFonts w:ascii="宋体" w:hAnsi="宋体" w:cs="宋体"/>
          <w:b/>
          <w:color w:val="auto"/>
          <w:sz w:val="24"/>
          <w:szCs w:val="24"/>
        </w:rPr>
      </w:pPr>
      <w:bookmarkStart w:id="5" w:name="OLE_LINK12"/>
      <w:bookmarkStart w:id="6" w:name="OLE_LINK10"/>
      <w:r>
        <w:rPr>
          <w:rFonts w:hint="eastAsia" w:ascii="黑体" w:hAnsi="黑体" w:eastAsia="黑体"/>
          <w:color w:val="auto"/>
          <w:sz w:val="24"/>
          <w:szCs w:val="24"/>
        </w:rPr>
        <w:t>六、质量保障措施</w:t>
      </w:r>
      <w:bookmarkEnd w:id="5"/>
      <w:bookmarkEnd w:id="6"/>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1、明确项目质量目标、质量标准；确定项目遵循的标准、规范及模版，遵守项目管理组的相关要求。项目若使用其它的标准和规范，应该在质量保证计划中说明。</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2、制定项目质量管理制度，明确项目质量管理工作流程及质量问题的发现、解决方法。</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3、明确质量管理工作方法和工具、管理内容；明确影响质量的控制节点，以及如何检查、控制。</w:t>
      </w:r>
    </w:p>
    <w:p>
      <w:pPr>
        <w:spacing w:line="480" w:lineRule="exact"/>
        <w:ind w:firstLine="480"/>
        <w:rPr>
          <w:rFonts w:ascii="宋体" w:hAnsi="宋体" w:cs="宋体"/>
          <w:b/>
          <w:color w:val="auto"/>
          <w:sz w:val="24"/>
          <w:szCs w:val="24"/>
        </w:rPr>
      </w:pPr>
      <w:r>
        <w:rPr>
          <w:rFonts w:hint="eastAsia" w:ascii="黑体" w:hAnsi="黑体" w:eastAsia="黑体"/>
          <w:color w:val="auto"/>
          <w:sz w:val="24"/>
          <w:szCs w:val="24"/>
        </w:rPr>
        <w:t>七、风险预防及控制措施</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1、供应商应针对各阶段工作内容和要求，详细分析实施过程中可能出现的各类风险，制定完善的风险管理策略。</w:t>
      </w:r>
    </w:p>
    <w:p>
      <w:pPr>
        <w:spacing w:line="480" w:lineRule="exact"/>
        <w:ind w:firstLine="480"/>
        <w:rPr>
          <w:rFonts w:cs="宋体" w:asciiTheme="minorEastAsia" w:hAnsiTheme="minorEastAsia"/>
          <w:bCs/>
          <w:color w:val="auto"/>
          <w:sz w:val="24"/>
          <w:szCs w:val="24"/>
        </w:rPr>
      </w:pPr>
      <w:r>
        <w:rPr>
          <w:rFonts w:hint="eastAsia" w:cs="宋体" w:asciiTheme="minorEastAsia" w:hAnsiTheme="minorEastAsia"/>
          <w:bCs/>
          <w:color w:val="auto"/>
          <w:sz w:val="24"/>
          <w:szCs w:val="24"/>
        </w:rPr>
        <w:t>2、项目完成后，成交供应商应对该项目所涉及的需求分析、测试、试运行、验收等各阶段工作文档按采购人质量、数量、提供方式、提供时间等要求进行整理，提交采购人归档。</w:t>
      </w:r>
    </w:p>
    <w:p>
      <w:pPr>
        <w:spacing w:line="480" w:lineRule="exact"/>
        <w:ind w:firstLine="480"/>
        <w:rPr>
          <w:rFonts w:ascii="宋体" w:hAnsi="宋体" w:cs="宋体"/>
          <w:b/>
          <w:color w:val="auto"/>
          <w:sz w:val="24"/>
          <w:szCs w:val="24"/>
        </w:rPr>
      </w:pPr>
      <w:r>
        <w:rPr>
          <w:rFonts w:hint="eastAsia" w:ascii="黑体" w:hAnsi="黑体" w:eastAsia="黑体"/>
          <w:color w:val="auto"/>
          <w:sz w:val="24"/>
          <w:szCs w:val="24"/>
        </w:rPr>
        <w:t>八、培训要求</w:t>
      </w:r>
    </w:p>
    <w:p>
      <w:pPr>
        <w:pStyle w:val="2"/>
        <w:spacing w:line="480" w:lineRule="exact"/>
        <w:ind w:firstLine="480"/>
        <w:rPr>
          <w:rFonts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1、成交供应商提供周全的培训计划、培训目标、培训内容、培训方法和培训师资。</w:t>
      </w:r>
    </w:p>
    <w:p>
      <w:pPr>
        <w:pStyle w:val="2"/>
        <w:spacing w:line="480" w:lineRule="exact"/>
        <w:ind w:firstLine="480"/>
        <w:rPr>
          <w:rFonts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2、培训方式采取线上+线下，确保采购单位对系统操作的熟悉性，能够全面熟练掌握软件运行、检查、维护等工作，确保日常工作的顺利完成。</w:t>
      </w:r>
    </w:p>
    <w:p>
      <w:pPr>
        <w:pStyle w:val="2"/>
        <w:spacing w:line="480" w:lineRule="exact"/>
        <w:ind w:firstLine="480"/>
        <w:rPr>
          <w:rFonts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3、成交供应商至少提供</w:t>
      </w:r>
      <w:r>
        <w:rPr>
          <w:rFonts w:hint="eastAsia" w:eastAsia="宋体" w:cs="宋体" w:asciiTheme="minorEastAsia" w:hAnsiTheme="minorEastAsia"/>
          <w:b w:val="0"/>
          <w:bCs w:val="0"/>
          <w:color w:val="auto"/>
          <w:sz w:val="24"/>
          <w:szCs w:val="24"/>
          <w:lang w:val="en-US" w:eastAsia="zh-CN"/>
        </w:rPr>
        <w:t>1</w:t>
      </w:r>
      <w:r>
        <w:rPr>
          <w:rFonts w:hint="eastAsia" w:eastAsia="宋体" w:cs="宋体" w:asciiTheme="minorEastAsia" w:hAnsiTheme="minorEastAsia"/>
          <w:b w:val="0"/>
          <w:bCs w:val="0"/>
          <w:color w:val="auto"/>
          <w:sz w:val="24"/>
          <w:szCs w:val="24"/>
        </w:rPr>
        <w:t>次培训服务</w:t>
      </w:r>
      <w:r>
        <w:rPr>
          <w:rFonts w:hint="eastAsia" w:eastAsia="宋体" w:cs="宋体" w:asciiTheme="minorEastAsia" w:hAnsiTheme="minorEastAsia"/>
          <w:b w:val="0"/>
          <w:bCs w:val="0"/>
          <w:color w:val="auto"/>
          <w:sz w:val="24"/>
          <w:szCs w:val="24"/>
          <w:lang w:eastAsia="zh-CN"/>
        </w:rPr>
        <w:t>。</w:t>
      </w:r>
      <w:r>
        <w:rPr>
          <w:rFonts w:hint="eastAsia" w:eastAsia="宋体" w:cs="宋体" w:asciiTheme="minorEastAsia" w:hAnsiTheme="minorEastAsia"/>
          <w:b w:val="0"/>
          <w:bCs w:val="0"/>
          <w:color w:val="auto"/>
          <w:sz w:val="24"/>
          <w:szCs w:val="24"/>
        </w:rPr>
        <w:t>培训方法及目标：供应商要详细制定详细的培训计划。要求根据用户的实际工作通过分角色、分流程、分系统进行全面培训，使各岗位相关人员面熟练撑握与自己工作相关的软件应用，确保日常工作的顺利完成。</w:t>
      </w:r>
    </w:p>
    <w:p>
      <w:pPr>
        <w:pStyle w:val="2"/>
        <w:spacing w:line="480" w:lineRule="exact"/>
        <w:ind w:firstLine="480"/>
        <w:rPr>
          <w:rFonts w:eastAsia="宋体" w:cs="宋体" w:asciiTheme="minorEastAsia" w:hAnsiTheme="minorEastAsia"/>
          <w:b w:val="0"/>
          <w:bCs w:val="0"/>
          <w:color w:val="auto"/>
          <w:sz w:val="24"/>
          <w:szCs w:val="24"/>
        </w:rPr>
      </w:pPr>
      <w:r>
        <w:rPr>
          <w:rFonts w:hint="eastAsia" w:eastAsia="宋体" w:cs="宋体" w:asciiTheme="minorEastAsia" w:hAnsiTheme="minorEastAsia"/>
          <w:b w:val="0"/>
          <w:bCs w:val="0"/>
          <w:color w:val="auto"/>
          <w:sz w:val="24"/>
          <w:szCs w:val="24"/>
        </w:rPr>
        <w:t>4、培训人员不低于2人，且需具有相关专业知识和实际工作经验、参加过本项目开发的专家或技术人员。接受培训人员由采购人自行确定。</w:t>
      </w:r>
    </w:p>
    <w:p>
      <w:pPr>
        <w:pStyle w:val="2"/>
        <w:spacing w:line="480" w:lineRule="exact"/>
        <w:ind w:firstLine="480"/>
        <w:rPr>
          <w:rFonts w:hint="default" w:eastAsia="宋体" w:cs="宋体" w:asciiTheme="minorEastAsia" w:hAnsiTheme="minorEastAsia"/>
          <w:color w:val="auto"/>
          <w:sz w:val="24"/>
          <w:szCs w:val="24"/>
          <w:lang w:val="en-US" w:eastAsia="zh-CN"/>
        </w:rPr>
      </w:pPr>
      <w:r>
        <w:rPr>
          <w:rFonts w:hint="eastAsia" w:eastAsia="宋体" w:cs="宋体" w:asciiTheme="minorEastAsia" w:hAnsiTheme="minorEastAsia"/>
          <w:b w:val="0"/>
          <w:bCs w:val="0"/>
          <w:color w:val="auto"/>
          <w:sz w:val="24"/>
          <w:szCs w:val="24"/>
          <w:lang w:val="en-US" w:eastAsia="zh-CN"/>
        </w:rPr>
        <w:t>5</w:t>
      </w:r>
      <w:r>
        <w:rPr>
          <w:rFonts w:hint="eastAsia" w:eastAsia="宋体" w:cs="宋体" w:asciiTheme="minorEastAsia" w:hAnsiTheme="minorEastAsia"/>
          <w:b w:val="0"/>
          <w:bCs w:val="0"/>
          <w:color w:val="auto"/>
          <w:sz w:val="24"/>
          <w:szCs w:val="24"/>
        </w:rPr>
        <w:t>、成交供应商</w:t>
      </w:r>
      <w:r>
        <w:rPr>
          <w:rFonts w:hint="eastAsia" w:eastAsia="宋体" w:cs="宋体" w:asciiTheme="minorEastAsia" w:hAnsiTheme="minorEastAsia"/>
          <w:b w:val="0"/>
          <w:bCs w:val="0"/>
          <w:color w:val="auto"/>
          <w:sz w:val="24"/>
          <w:szCs w:val="24"/>
          <w:lang w:val="en-US" w:eastAsia="zh-CN"/>
        </w:rPr>
        <w:t>须为采购人提供1次脱产式、集中式对应业务培训。培训内容、地点：由采购人指定。</w:t>
      </w:r>
      <w:r>
        <w:rPr>
          <w:rFonts w:hint="eastAsia" w:eastAsia="宋体" w:cs="宋体" w:asciiTheme="minorEastAsia" w:hAnsiTheme="minorEastAsia"/>
          <w:b w:val="0"/>
          <w:bCs w:val="0"/>
          <w:color w:val="auto"/>
          <w:sz w:val="24"/>
          <w:szCs w:val="24"/>
        </w:rPr>
        <w:t>成交供应商负责培训的一切费用</w:t>
      </w:r>
      <w:r>
        <w:rPr>
          <w:rFonts w:hint="eastAsia" w:eastAsia="宋体" w:cs="宋体" w:asciiTheme="minorEastAsia" w:hAnsiTheme="minorEastAsia"/>
          <w:b w:val="0"/>
          <w:bCs w:val="0"/>
          <w:color w:val="auto"/>
          <w:sz w:val="24"/>
          <w:szCs w:val="24"/>
          <w:lang w:eastAsia="zh-CN"/>
        </w:rPr>
        <w:t>，</w:t>
      </w:r>
      <w:r>
        <w:rPr>
          <w:rFonts w:hint="eastAsia" w:eastAsia="宋体" w:cs="宋体" w:asciiTheme="minorEastAsia" w:hAnsiTheme="minorEastAsia"/>
          <w:b w:val="0"/>
          <w:bCs w:val="0"/>
          <w:color w:val="auto"/>
          <w:sz w:val="24"/>
          <w:szCs w:val="24"/>
          <w:lang w:val="en-US" w:eastAsia="zh-CN"/>
        </w:rPr>
        <w:t>培训费用不得低于5万元。</w:t>
      </w:r>
    </w:p>
    <w:p>
      <w:pPr>
        <w:spacing w:line="480" w:lineRule="exact"/>
        <w:ind w:firstLine="480"/>
        <w:rPr>
          <w:rFonts w:ascii="黑体" w:hAnsi="黑体" w:eastAsia="黑体"/>
          <w:color w:val="auto"/>
          <w:sz w:val="24"/>
          <w:szCs w:val="24"/>
        </w:rPr>
      </w:pPr>
      <w:r>
        <w:rPr>
          <w:rFonts w:hint="eastAsia" w:ascii="黑体" w:hAnsi="黑体" w:eastAsia="黑体"/>
          <w:color w:val="auto"/>
          <w:sz w:val="24"/>
          <w:szCs w:val="24"/>
        </w:rPr>
        <w:t>九、运维服务要求</w:t>
      </w:r>
    </w:p>
    <w:p>
      <w:pPr>
        <w:spacing w:line="480" w:lineRule="exact"/>
        <w:ind w:firstLine="480"/>
        <w:rPr>
          <w:rFonts w:cs="宋体" w:asciiTheme="minorEastAsia" w:hAnsiTheme="minorEastAsia"/>
          <w:color w:val="auto"/>
          <w:sz w:val="24"/>
          <w:szCs w:val="24"/>
        </w:rPr>
      </w:pPr>
      <w:r>
        <w:rPr>
          <w:rFonts w:hint="eastAsia" w:cs="宋体" w:asciiTheme="minorEastAsia" w:hAnsiTheme="minorEastAsia"/>
          <w:color w:val="auto"/>
          <w:sz w:val="24"/>
          <w:szCs w:val="24"/>
        </w:rPr>
        <w:t>1、自项目试运行结束经采购人验收通过之日起，项目进入运维服务期，运维服务费用包含在本次的报价中。</w:t>
      </w:r>
    </w:p>
    <w:p>
      <w:pPr>
        <w:spacing w:line="480" w:lineRule="exact"/>
        <w:ind w:firstLine="480"/>
        <w:rPr>
          <w:rFonts w:hint="eastAsia" w:cs="宋体" w:asciiTheme="minorEastAsia" w:hAnsiTheme="minorEastAsia"/>
          <w:color w:val="auto"/>
          <w:sz w:val="24"/>
          <w:szCs w:val="24"/>
        </w:rPr>
      </w:pPr>
      <w:r>
        <w:rPr>
          <w:rFonts w:hint="eastAsia" w:cs="宋体" w:asciiTheme="minorEastAsia" w:hAnsiTheme="minorEastAsia"/>
          <w:color w:val="auto"/>
          <w:sz w:val="24"/>
          <w:szCs w:val="24"/>
        </w:rPr>
        <w:t>2、运维服务期内，本合同项目所有技术和服务发生任何非人为故障，由成交供应商负责系统恢复。故障报修的响应时间为 7×24 小时即时服务。</w:t>
      </w:r>
    </w:p>
    <w:p>
      <w:pPr>
        <w:spacing w:line="480" w:lineRule="exact"/>
        <w:ind w:firstLine="480"/>
        <w:rPr>
          <w:rFonts w:hint="eastAsia" w:eastAsia="宋体"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3、</w:t>
      </w:r>
      <w:r>
        <w:rPr>
          <w:rFonts w:hint="eastAsia" w:ascii="宋体" w:hAnsi="宋体" w:eastAsia="宋体" w:cs="宋体"/>
          <w:iCs/>
          <w:color w:val="auto"/>
          <w:sz w:val="24"/>
          <w:szCs w:val="24"/>
          <w:highlight w:val="none"/>
          <w:lang w:val="en-US" w:eastAsia="zh-CN" w:bidi="ar-SA"/>
        </w:rPr>
        <w:t>免费提供咨询服务、技术服务并对运行中出现的软件故障进行处理。</w:t>
      </w:r>
    </w:p>
    <w:p>
      <w:pPr>
        <w:spacing w:line="480" w:lineRule="exact"/>
        <w:ind w:firstLine="480"/>
        <w:rPr>
          <w:rFonts w:hint="eastAsia" w:cs="宋体" w:asciiTheme="minorEastAsia" w:hAnsiTheme="minorEastAsia"/>
          <w:color w:val="auto"/>
          <w:sz w:val="24"/>
          <w:szCs w:val="24"/>
        </w:rPr>
      </w:pPr>
      <w:r>
        <w:rPr>
          <w:rFonts w:hint="eastAsia" w:cs="宋体" w:asciiTheme="minorEastAsia" w:hAnsiTheme="minorEastAsia"/>
          <w:color w:val="auto"/>
          <w:sz w:val="24"/>
          <w:szCs w:val="24"/>
          <w:lang w:val="en-US" w:eastAsia="zh-CN"/>
        </w:rPr>
        <w:t>4</w:t>
      </w:r>
      <w:r>
        <w:rPr>
          <w:rFonts w:hint="eastAsia" w:cs="宋体" w:asciiTheme="minorEastAsia" w:hAnsiTheme="minorEastAsia"/>
          <w:color w:val="auto"/>
          <w:sz w:val="24"/>
          <w:szCs w:val="24"/>
        </w:rPr>
        <w:t>、因相关法律法规政策调整等原因，对系统进行修改的，成交供应商要根据采购人要求及时调整到位。</w:t>
      </w:r>
    </w:p>
    <w:p>
      <w:pPr>
        <w:spacing w:line="480" w:lineRule="exact"/>
        <w:ind w:firstLine="480"/>
        <w:rPr>
          <w:rFonts w:hint="eastAsia" w:ascii="黑体" w:hAnsi="黑体" w:eastAsia="黑体"/>
          <w:color w:val="auto"/>
          <w:sz w:val="24"/>
          <w:szCs w:val="24"/>
          <w:lang w:val="en-US" w:eastAsia="zh-CN"/>
        </w:rPr>
      </w:pPr>
      <w:bookmarkStart w:id="7" w:name="_Toc148981329"/>
      <w:r>
        <w:rPr>
          <w:rFonts w:hint="eastAsia" w:ascii="黑体" w:hAnsi="黑体" w:eastAsia="黑体"/>
          <w:color w:val="auto"/>
          <w:sz w:val="24"/>
          <w:szCs w:val="24"/>
          <w:lang w:val="en-US" w:eastAsia="zh-CN"/>
        </w:rPr>
        <w:t>十、安全和保密要求</w:t>
      </w:r>
      <w:bookmarkEnd w:id="7"/>
    </w:p>
    <w:p>
      <w:pPr>
        <w:spacing w:line="480" w:lineRule="exact"/>
        <w:ind w:firstLine="480"/>
        <w:rPr>
          <w:rFonts w:hint="default" w:eastAsia="宋体"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1、供应商承诺，针对本项目涉及的系统文档、数据库表、数据等系统信息进行保密，不得泄露给第三方。安全和保密要求包括但不限于：日常保密风险及防范、涉密人员的管理和要求等。</w:t>
      </w:r>
    </w:p>
    <w:p>
      <w:pPr>
        <w:spacing w:line="480" w:lineRule="exact"/>
        <w:ind w:firstLine="480"/>
        <w:rPr>
          <w:rFonts w:hint="eastAsia" w:cs="宋体" w:asciiTheme="minorEastAsia" w:hAnsiTheme="minorEastAsia"/>
          <w:color w:val="auto"/>
          <w:sz w:val="24"/>
          <w:szCs w:val="24"/>
          <w:lang w:val="en-US" w:eastAsia="zh-CN"/>
        </w:rPr>
      </w:pPr>
      <w:r>
        <w:rPr>
          <w:rFonts w:hint="eastAsia" w:cs="宋体" w:asciiTheme="minorEastAsia" w:hAnsiTheme="minorEastAsia"/>
          <w:color w:val="auto"/>
          <w:sz w:val="24"/>
          <w:szCs w:val="24"/>
          <w:lang w:val="en-US" w:eastAsia="zh-CN"/>
        </w:rPr>
        <w:t>2、采取可靠手段杜绝对应用系统的非法访问、入侵或攻击行为，对数据的访问采用严格的用户权限控制。</w:t>
      </w:r>
    </w:p>
    <w:p>
      <w:pPr>
        <w:spacing w:line="480" w:lineRule="exact"/>
        <w:ind w:firstLine="480"/>
        <w:rPr>
          <w:rFonts w:cs="宋体" w:asciiTheme="majorEastAsia" w:hAnsiTheme="majorEastAsia" w:eastAsiaTheme="majorEastAsia"/>
          <w:color w:val="auto"/>
          <w:sz w:val="24"/>
          <w:szCs w:val="24"/>
        </w:rPr>
      </w:pPr>
      <w:bookmarkStart w:id="8" w:name="_Toc516580154"/>
      <w:r>
        <w:rPr>
          <w:rFonts w:hint="eastAsia" w:ascii="黑体" w:hAnsi="黑体" w:eastAsia="黑体"/>
          <w:color w:val="auto"/>
          <w:sz w:val="24"/>
          <w:szCs w:val="24"/>
        </w:rPr>
        <w:t>十</w:t>
      </w:r>
      <w:r>
        <w:rPr>
          <w:rFonts w:hint="eastAsia" w:ascii="黑体" w:hAnsi="黑体" w:eastAsia="黑体"/>
          <w:color w:val="auto"/>
          <w:sz w:val="24"/>
          <w:szCs w:val="24"/>
          <w:lang w:val="en-US" w:eastAsia="zh-CN"/>
        </w:rPr>
        <w:t>一</w:t>
      </w:r>
      <w:r>
        <w:rPr>
          <w:rFonts w:hint="eastAsia" w:ascii="黑体" w:hAnsi="黑体" w:eastAsia="黑体"/>
          <w:color w:val="auto"/>
          <w:sz w:val="24"/>
          <w:szCs w:val="24"/>
        </w:rPr>
        <w:t>、验收要求</w:t>
      </w:r>
    </w:p>
    <w:p>
      <w:pPr>
        <w:pStyle w:val="7"/>
        <w:spacing w:line="480" w:lineRule="exact"/>
        <w:ind w:firstLine="482"/>
        <w:rPr>
          <w:rFonts w:hint="eastAsia" w:ascii="宋体" w:hAnsi="宋体" w:cs="宋体"/>
          <w:color w:val="auto"/>
          <w:sz w:val="24"/>
          <w:szCs w:val="24"/>
        </w:rPr>
      </w:pPr>
      <w:bookmarkStart w:id="9" w:name="OLE_LINK140"/>
      <w:bookmarkStart w:id="10" w:name="OLE_LINK139"/>
      <w:r>
        <w:rPr>
          <w:rFonts w:hint="eastAsia" w:asciiTheme="minorEastAsia" w:hAnsiTheme="minorEastAsia" w:eastAsiaTheme="minorEastAsia" w:cstheme="minorEastAsia"/>
          <w:color w:val="auto"/>
          <w:sz w:val="24"/>
          <w:szCs w:val="24"/>
        </w:rPr>
        <w:t>项目完成后进入试运行阶段，试运行1个月后，成交供应商可提出</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申请，若试运行期间出现问题，成交供应商须在5个工作日内进行调整完毕。采购人在收到成交供应商的</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申请后根据技术要求和合同约定，5个工作日内组织</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，并出具</w:t>
      </w:r>
      <w:r>
        <w:rPr>
          <w:rFonts w:hint="eastAsia" w:cs="仿宋"/>
          <w:color w:val="auto"/>
          <w:sz w:val="24"/>
          <w:szCs w:val="24"/>
        </w:rPr>
        <w:t>系统验收确认</w:t>
      </w:r>
      <w:r>
        <w:rPr>
          <w:rFonts w:hint="eastAsia" w:asciiTheme="minorEastAsia" w:hAnsiTheme="minorEastAsia" w:eastAsiaTheme="minorEastAsia" w:cstheme="minorEastAsia"/>
          <w:color w:val="auto"/>
          <w:sz w:val="24"/>
          <w:szCs w:val="24"/>
        </w:rPr>
        <w:t>报告</w:t>
      </w:r>
      <w:bookmarkEnd w:id="9"/>
      <w:bookmarkEnd w:id="10"/>
      <w:r>
        <w:rPr>
          <w:rFonts w:hint="eastAsia" w:cs="仿宋"/>
          <w:color w:val="auto"/>
          <w:sz w:val="24"/>
          <w:szCs w:val="24"/>
        </w:rPr>
        <w:t>。</w:t>
      </w:r>
    </w:p>
    <w:p>
      <w:pPr>
        <w:spacing w:line="480" w:lineRule="exact"/>
        <w:ind w:firstLine="480"/>
        <w:rPr>
          <w:rFonts w:ascii="宋体" w:hAnsi="宋体" w:cs="宋体"/>
          <w:b/>
          <w:color w:val="auto"/>
          <w:sz w:val="24"/>
          <w:szCs w:val="24"/>
        </w:rPr>
      </w:pPr>
      <w:r>
        <w:rPr>
          <w:rFonts w:hint="eastAsia" w:ascii="黑体" w:hAnsi="黑体" w:eastAsia="黑体"/>
          <w:color w:val="auto"/>
          <w:sz w:val="24"/>
          <w:szCs w:val="24"/>
        </w:rPr>
        <w:t>十</w:t>
      </w:r>
      <w:r>
        <w:rPr>
          <w:rFonts w:hint="eastAsia" w:ascii="黑体" w:hAnsi="黑体" w:eastAsia="黑体"/>
          <w:color w:val="auto"/>
          <w:sz w:val="24"/>
          <w:szCs w:val="24"/>
          <w:lang w:val="en-US" w:eastAsia="zh-CN"/>
        </w:rPr>
        <w:t>二</w:t>
      </w:r>
      <w:r>
        <w:rPr>
          <w:rFonts w:hint="eastAsia" w:ascii="黑体" w:hAnsi="黑体" w:eastAsia="黑体"/>
          <w:color w:val="auto"/>
          <w:sz w:val="24"/>
          <w:szCs w:val="24"/>
        </w:rPr>
        <w:t>、其他服务要求和注意事项</w:t>
      </w:r>
    </w:p>
    <w:p>
      <w:pPr>
        <w:spacing w:line="480" w:lineRule="exact"/>
        <w:ind w:firstLine="48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成交供应商负责对采购人所提供资料及最终成果的保密，成交供应商需遵守采购人的保密规定，不以任何形式将收集的所有资料、数据等进行泄漏、传播。项目服务人员需签署相关保密协议，承担工作中接触相关内容的保密义务。</w:t>
      </w:r>
    </w:p>
    <w:p>
      <w:pPr>
        <w:spacing w:line="480" w:lineRule="exact"/>
        <w:ind w:firstLine="48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2</w:t>
      </w:r>
      <w:r>
        <w:rPr>
          <w:rFonts w:hint="eastAsia" w:cs="宋体" w:asciiTheme="minorEastAsia" w:hAnsiTheme="minorEastAsia"/>
          <w:color w:val="000000" w:themeColor="text1"/>
          <w:sz w:val="24"/>
          <w:szCs w:val="24"/>
          <w14:textFill>
            <w14:solidFill>
              <w14:schemeClr w14:val="tx1"/>
            </w14:solidFill>
          </w14:textFill>
        </w:rPr>
        <w:t>、供应商应保证采购人在使用该系统或其任何一部分时不受第三方提出侵犯专利权、商标权或工业设备等知识产权的指控，如果第三方提出侵权指控，供应商须与第三方交涉并承担可能发生的一切法律责任和费用。</w:t>
      </w:r>
    </w:p>
    <w:p>
      <w:pPr>
        <w:spacing w:line="480" w:lineRule="exact"/>
        <w:ind w:firstLine="48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3</w:t>
      </w:r>
      <w:r>
        <w:rPr>
          <w:rFonts w:hint="eastAsia" w:cs="宋体" w:asciiTheme="minorEastAsia" w:hAnsiTheme="minorEastAsia"/>
          <w:color w:val="000000" w:themeColor="text1"/>
          <w:sz w:val="24"/>
          <w:szCs w:val="24"/>
          <w14:textFill>
            <w14:solidFill>
              <w14:schemeClr w14:val="tx1"/>
            </w14:solidFill>
          </w14:textFill>
        </w:rPr>
        <w:t>、若采购人在项目建设和运维期间内信息系统发生变化，导致数据重新同步，则由</w:t>
      </w:r>
      <w:bookmarkStart w:id="11" w:name="OLE_LINK131"/>
      <w:r>
        <w:rPr>
          <w:rFonts w:hint="eastAsia" w:cs="宋体" w:asciiTheme="minorEastAsia" w:hAnsiTheme="minorEastAsia"/>
          <w:color w:val="000000" w:themeColor="text1"/>
          <w:sz w:val="24"/>
          <w:szCs w:val="24"/>
          <w14:textFill>
            <w14:solidFill>
              <w14:schemeClr w14:val="tx1"/>
            </w14:solidFill>
          </w14:textFill>
        </w:rPr>
        <w:t>成交供应商</w:t>
      </w:r>
      <w:bookmarkEnd w:id="11"/>
      <w:r>
        <w:rPr>
          <w:rFonts w:hint="eastAsia" w:cs="宋体" w:asciiTheme="minorEastAsia" w:hAnsiTheme="minorEastAsia"/>
          <w:color w:val="000000" w:themeColor="text1"/>
          <w:sz w:val="24"/>
          <w:szCs w:val="24"/>
          <w14:textFill>
            <w14:solidFill>
              <w14:schemeClr w14:val="tx1"/>
            </w14:solidFill>
          </w14:textFill>
        </w:rPr>
        <w:t>重新发起。</w:t>
      </w:r>
    </w:p>
    <w:p>
      <w:pPr>
        <w:spacing w:line="480" w:lineRule="exact"/>
        <w:ind w:firstLine="480"/>
        <w:rPr>
          <w:rFonts w:cs="宋体" w:asciiTheme="minorEastAsia" w:hAnsiTheme="minorEastAsia"/>
          <w:color w:val="000000" w:themeColor="text1"/>
          <w:sz w:val="24"/>
          <w:szCs w:val="24"/>
          <w14:textFill>
            <w14:solidFill>
              <w14:schemeClr w14:val="tx1"/>
            </w14:solidFill>
          </w14:textFill>
        </w:rPr>
      </w:pPr>
      <w:r>
        <w:rPr>
          <w:rFonts w:cs="宋体" w:asciiTheme="minorEastAsia" w:hAnsiTheme="minorEastAsia"/>
          <w:color w:val="000000" w:themeColor="text1"/>
          <w:sz w:val="24"/>
          <w:szCs w:val="24"/>
          <w14:textFill>
            <w14:solidFill>
              <w14:schemeClr w14:val="tx1"/>
            </w14:solidFill>
          </w14:textFill>
        </w:rPr>
        <w:t>4</w:t>
      </w:r>
      <w:r>
        <w:rPr>
          <w:rFonts w:hint="eastAsia" w:cs="宋体" w:asciiTheme="minorEastAsia" w:hAnsiTheme="minorEastAsia"/>
          <w:color w:val="000000" w:themeColor="text1"/>
          <w:sz w:val="24"/>
          <w:szCs w:val="24"/>
          <w14:textFill>
            <w14:solidFill>
              <w14:schemeClr w14:val="tx1"/>
            </w14:solidFill>
          </w14:textFill>
        </w:rPr>
        <w:t>、项目服务期内，成交供应商如有系统版本更新升级，主动提供升级更新服务，不得存在故意停更版本情况，一旦被采购人知晓，将扣除剩余合同金额。</w:t>
      </w:r>
      <w:bookmarkEnd w:id="8"/>
    </w:p>
    <w:p>
      <w:pPr>
        <w:spacing w:line="480" w:lineRule="exact"/>
        <w:ind w:firstLine="480"/>
        <w:rPr>
          <w:rFonts w:cs="宋体" w:asciiTheme="minorEastAsia" w:hAnsiTheme="minorEastAsia"/>
          <w:color w:val="000000" w:themeColor="text1"/>
          <w:sz w:val="24"/>
          <w:szCs w:val="24"/>
          <w14:textFill>
            <w14:solidFill>
              <w14:schemeClr w14:val="tx1"/>
            </w14:solidFill>
          </w14:textFill>
        </w:rPr>
      </w:pPr>
      <w:r>
        <w:rPr>
          <w:rFonts w:hint="eastAsia" w:cs="宋体" w:asciiTheme="minorEastAsia" w:hAnsiTheme="minorEastAsia"/>
          <w:color w:val="000000" w:themeColor="text1"/>
          <w:sz w:val="24"/>
          <w:szCs w:val="24"/>
          <w14:textFill>
            <w14:solidFill>
              <w14:schemeClr w14:val="tx1"/>
            </w14:solidFill>
          </w14:textFill>
        </w:rPr>
        <w:t>5、供应商报价时应充分考虑所有可能影响到报价的因素，一旦评标结束最终成交，如发生漏、缺、少项，都将被认为是成交人的报价让利行为，损失自负。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E1D4DE"/>
    <w:multiLevelType w:val="singleLevel"/>
    <w:tmpl w:val="FEE1D4DE"/>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chineseCountingThousand"/>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6"/>
      <w:isLgl/>
      <w:suff w:val="space"/>
      <w:lvlText w:val="%1.%2.%3"/>
      <w:lvlJc w:val="left"/>
      <w:pPr>
        <w:ind w:left="993" w:firstLine="0"/>
      </w:pPr>
      <w:rPr>
        <w:rFonts w:hint="eastAsia"/>
        <w:b w:val="0"/>
        <w:bCs w:val="0"/>
        <w:i w:val="0"/>
        <w:iCs w:val="0"/>
        <w:caps w:val="0"/>
        <w:smallCaps w:val="0"/>
        <w:vanish w:val="0"/>
        <w:color w:val="000000"/>
        <w:spacing w:val="0"/>
        <w:position w:val="0"/>
        <w:u w:val="none"/>
        <w:vertAlign w:val="baseline"/>
      </w:rPr>
    </w:lvl>
    <w:lvl w:ilvl="3" w:tentative="0">
      <w:start w:val="1"/>
      <w:numFmt w:val="decimal"/>
      <w:isLgl/>
      <w:lvlText w:val="%1.%2.%3.%4"/>
      <w:lvlJc w:val="left"/>
      <w:pPr>
        <w:ind w:left="0" w:firstLine="0"/>
      </w:pPr>
      <w:rPr>
        <w:rFonts w:hint="eastAsia"/>
        <w:b w:val="0"/>
        <w:bCs w:val="0"/>
        <w:i w:val="0"/>
        <w:iCs w:val="0"/>
        <w:caps w:val="0"/>
        <w:smallCaps w:val="0"/>
        <w:vanish w:val="0"/>
        <w:color w:val="000000"/>
        <w:spacing w:val="0"/>
        <w:position w:val="0"/>
        <w:u w:val="none"/>
        <w:vertAlign w:val="baseline"/>
      </w:rPr>
    </w:lvl>
    <w:lvl w:ilvl="4" w:tentative="0">
      <w:start w:val="1"/>
      <w:numFmt w:val="decimal"/>
      <w:isLgl/>
      <w:lvlText w:val="%1.%2.%3.%4.%5"/>
      <w:lvlJc w:val="left"/>
      <w:pPr>
        <w:ind w:left="0" w:firstLine="0"/>
      </w:pPr>
      <w:rPr>
        <w:rFonts w:hint="eastAsia"/>
      </w:rPr>
    </w:lvl>
    <w:lvl w:ilvl="5" w:tentative="0">
      <w:start w:val="1"/>
      <w:numFmt w:val="decimal"/>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2">
    <w:nsid w:val="6BBA86D6"/>
    <w:multiLevelType w:val="singleLevel"/>
    <w:tmpl w:val="6BBA86D6"/>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950229"/>
    <w:rsid w:val="0B2D1E72"/>
    <w:rsid w:val="0D695593"/>
    <w:rsid w:val="14453777"/>
    <w:rsid w:val="2980399C"/>
    <w:rsid w:val="2C7715B7"/>
    <w:rsid w:val="34FD1021"/>
    <w:rsid w:val="36381547"/>
    <w:rsid w:val="38BE0692"/>
    <w:rsid w:val="3D4153BD"/>
    <w:rsid w:val="4E4E4CF5"/>
    <w:rsid w:val="57EA0D69"/>
    <w:rsid w:val="59F35A89"/>
    <w:rsid w:val="65950229"/>
    <w:rsid w:val="67FC652E"/>
    <w:rsid w:val="7B414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Calibri" w:hAnsi="Calibri" w:eastAsia="宋体" w:cs="Times New Roman"/>
      <w:sz w:val="21"/>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firstLine="600"/>
    </w:pPr>
    <w:rPr>
      <w:rFonts w:ascii="Times New Roman" w:hAnsi="Times New Roman" w:eastAsia="方正仿宋_GBK"/>
      <w:b/>
      <w:bCs/>
      <w:color w:val="FF0000"/>
      <w:sz w:val="30"/>
      <w:szCs w:val="30"/>
    </w:rPr>
  </w:style>
  <w:style w:type="paragraph" w:customStyle="1" w:styleId="5">
    <w:name w:val="正文文本_0"/>
    <w:basedOn w:val="1"/>
    <w:qFormat/>
    <w:uiPriority w:val="0"/>
    <w:rPr>
      <w:rFonts w:ascii="仿宋" w:eastAsia="仿宋" w:cs="仿宋"/>
      <w:sz w:val="24"/>
      <w:szCs w:val="24"/>
      <w:lang w:val="zh-CN" w:bidi="zh-CN"/>
    </w:rPr>
  </w:style>
  <w:style w:type="paragraph" w:customStyle="1" w:styleId="6">
    <w:name w:val="03伟业H三级标题（1.1.1）"/>
    <w:basedOn w:val="1"/>
    <w:next w:val="1"/>
    <w:qFormat/>
    <w:uiPriority w:val="0"/>
    <w:pPr>
      <w:numPr>
        <w:ilvl w:val="2"/>
        <w:numId w:val="1"/>
      </w:numPr>
      <w:spacing w:before="200" w:after="160" w:line="360" w:lineRule="auto"/>
      <w:jc w:val="left"/>
      <w:outlineLvl w:val="2"/>
    </w:pPr>
    <w:rPr>
      <w:rFonts w:ascii="Times New Roman" w:hAnsi="Times New Roman" w:eastAsia="宋体" w:cs="Times New Roman"/>
      <w:b/>
      <w:sz w:val="32"/>
    </w:rPr>
  </w:style>
  <w:style w:type="paragraph" w:customStyle="1" w:styleId="7">
    <w:name w:val="正文1_0_0"/>
    <w:qFormat/>
    <w:uiPriority w:val="99"/>
    <w:pPr>
      <w:widowControl w:val="0"/>
      <w:jc w:val="both"/>
    </w:pPr>
    <w:rPr>
      <w:rFonts w:hint="default"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2025-10-20T02:13:00Z</dcterms:created>
  <dc:creator>caofeng</dc:creator>
  <cp:lastModifiedBy>caofeng</cp:lastModifiedBy>
  <dcterms:modified xsi:type="dcterms:W3CDTF">2025-10-20T02:51:06Z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